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F084F" w:rsidRDefault="00CF084F">
      <w:pPr>
        <w:pStyle w:val="Body"/>
        <w:jc w:val="both"/>
        <w:rPr>
          <w:rFonts w:ascii="Arial" w:hAnsi="Arial"/>
          <w:sz w:val="24"/>
          <w:szCs w:val="24"/>
        </w:rPr>
      </w:pPr>
    </w:p>
    <w:p w:rsidR="00CF084F" w:rsidRDefault="00CF084F">
      <w:pPr>
        <w:pStyle w:val="Body"/>
        <w:jc w:val="both"/>
        <w:rPr>
          <w:rFonts w:ascii="Arial" w:hAnsi="Arial"/>
          <w:sz w:val="24"/>
          <w:szCs w:val="24"/>
        </w:rPr>
      </w:pPr>
    </w:p>
    <w:p w:rsidR="00CF084F" w:rsidRDefault="00CF084F">
      <w:pPr>
        <w:pStyle w:val="Body"/>
        <w:jc w:val="both"/>
        <w:rPr>
          <w:rFonts w:ascii="Arial" w:hAnsi="Arial"/>
          <w:sz w:val="24"/>
          <w:szCs w:val="24"/>
        </w:rPr>
      </w:pPr>
    </w:p>
    <w:p w:rsidR="00CF084F" w:rsidRDefault="00CF084F">
      <w:pPr>
        <w:pStyle w:val="Body"/>
        <w:jc w:val="both"/>
        <w:rPr>
          <w:rFonts w:ascii="Arial" w:hAnsi="Arial"/>
          <w:sz w:val="24"/>
          <w:szCs w:val="24"/>
        </w:rPr>
      </w:pPr>
    </w:p>
    <w:p w:rsidR="00CF084F" w:rsidRDefault="00CF084F">
      <w:pPr>
        <w:pStyle w:val="Body"/>
        <w:jc w:val="both"/>
        <w:rPr>
          <w:rFonts w:ascii="Arial" w:hAnsi="Arial"/>
          <w:sz w:val="24"/>
          <w:szCs w:val="24"/>
        </w:rPr>
      </w:pPr>
    </w:p>
    <w:p w:rsidR="00CF084F" w:rsidRDefault="00CF084F">
      <w:pPr>
        <w:pStyle w:val="Body"/>
        <w:jc w:val="both"/>
        <w:rPr>
          <w:rFonts w:ascii="Arial" w:hAnsi="Arial"/>
          <w:sz w:val="24"/>
          <w:szCs w:val="24"/>
        </w:rPr>
      </w:pPr>
    </w:p>
    <w:p w:rsidR="00CF084F" w:rsidRDefault="00CF084F">
      <w:pPr>
        <w:pStyle w:val="Body"/>
        <w:jc w:val="both"/>
        <w:rPr>
          <w:rFonts w:ascii="Arial" w:hAnsi="Arial"/>
          <w:sz w:val="24"/>
          <w:szCs w:val="24"/>
        </w:rPr>
      </w:pPr>
    </w:p>
    <w:p w:rsidR="00CF084F" w:rsidRDefault="00CF084F">
      <w:pPr>
        <w:pStyle w:val="Body"/>
        <w:jc w:val="both"/>
        <w:rPr>
          <w:rFonts w:ascii="Arial" w:hAnsi="Arial"/>
          <w:sz w:val="24"/>
          <w:szCs w:val="24"/>
        </w:rPr>
      </w:pPr>
    </w:p>
    <w:p w:rsidR="00CF084F" w:rsidRDefault="00CF084F">
      <w:pPr>
        <w:pStyle w:val="Body"/>
        <w:jc w:val="both"/>
        <w:rPr>
          <w:rFonts w:ascii="Arial" w:hAnsi="Arial"/>
          <w:sz w:val="24"/>
          <w:szCs w:val="24"/>
        </w:rPr>
      </w:pPr>
    </w:p>
    <w:p w:rsidR="00CF084F" w:rsidRDefault="006501ED">
      <w:pPr>
        <w:pStyle w:val="Body"/>
        <w:spacing w:line="288" w:lineRule="auto"/>
        <w:rPr>
          <w:rFonts w:ascii="Arial" w:eastAsia="Arial" w:hAnsi="Arial" w:cs="Arial"/>
          <w:b/>
          <w:bCs/>
          <w:sz w:val="28"/>
          <w:szCs w:val="28"/>
          <w:u w:val="single"/>
        </w:rPr>
      </w:pPr>
      <w:r>
        <w:rPr>
          <w:rFonts w:ascii="Arial" w:hAnsi="Arial"/>
          <w:b/>
          <w:bCs/>
          <w:sz w:val="28"/>
          <w:szCs w:val="28"/>
          <w:u w:val="single"/>
          <w:lang w:val="en-US"/>
        </w:rPr>
        <w:t>The</w:t>
      </w:r>
      <w:r w:rsidR="00346DCB">
        <w:rPr>
          <w:rFonts w:ascii="Arial" w:hAnsi="Arial"/>
          <w:b/>
          <w:bCs/>
          <w:sz w:val="28"/>
          <w:szCs w:val="28"/>
          <w:u w:val="single"/>
          <w:lang w:val="en-US"/>
        </w:rPr>
        <w:t xml:space="preserve"> evolution of the international </w:t>
      </w:r>
      <w:r w:rsidR="003E75FA">
        <w:rPr>
          <w:rFonts w:ascii="Arial" w:hAnsi="Arial"/>
          <w:b/>
          <w:bCs/>
          <w:sz w:val="28"/>
          <w:szCs w:val="28"/>
          <w:u w:val="single"/>
          <w:lang w:val="en-US"/>
        </w:rPr>
        <w:t>emergency</w:t>
      </w:r>
      <w:r w:rsidR="00346DCB">
        <w:rPr>
          <w:rFonts w:ascii="Arial" w:hAnsi="Arial"/>
          <w:b/>
          <w:bCs/>
          <w:sz w:val="28"/>
          <w:szCs w:val="28"/>
          <w:u w:val="single"/>
          <w:lang w:val="en-US"/>
        </w:rPr>
        <w:t xml:space="preserve"> care workforce: a thematic analysis</w:t>
      </w:r>
    </w:p>
    <w:p w:rsidR="00CF084F" w:rsidRDefault="00346DCB">
      <w:pPr>
        <w:pStyle w:val="Body"/>
        <w:spacing w:line="288" w:lineRule="auto"/>
        <w:jc w:val="both"/>
        <w:rPr>
          <w:rFonts w:ascii="Arial" w:eastAsia="Arial" w:hAnsi="Arial" w:cs="Arial"/>
          <w:i/>
          <w:iCs/>
          <w:sz w:val="24"/>
          <w:szCs w:val="24"/>
        </w:rPr>
      </w:pPr>
      <w:r>
        <w:rPr>
          <w:rFonts w:ascii="Arial" w:hAnsi="Arial"/>
          <w:i/>
          <w:iCs/>
          <w:sz w:val="24"/>
          <w:szCs w:val="24"/>
          <w:lang w:val="en-US"/>
        </w:rPr>
        <w:t>Review</w:t>
      </w:r>
    </w:p>
    <w:p w:rsidR="00CF084F" w:rsidRDefault="00CF084F">
      <w:pPr>
        <w:pStyle w:val="Body"/>
        <w:spacing w:line="288" w:lineRule="auto"/>
        <w:jc w:val="both"/>
        <w:rPr>
          <w:rFonts w:ascii="Arial" w:eastAsia="Arial" w:hAnsi="Arial" w:cs="Arial"/>
          <w:sz w:val="24"/>
          <w:szCs w:val="24"/>
        </w:rPr>
      </w:pPr>
    </w:p>
    <w:p w:rsidR="00CF084F" w:rsidRDefault="00346DCB">
      <w:pPr>
        <w:pStyle w:val="Body"/>
        <w:spacing w:line="288" w:lineRule="auto"/>
        <w:jc w:val="both"/>
        <w:rPr>
          <w:rFonts w:ascii="Arial" w:eastAsia="Arial" w:hAnsi="Arial" w:cs="Arial"/>
          <w:sz w:val="24"/>
          <w:szCs w:val="24"/>
          <w:u w:val="single"/>
        </w:rPr>
      </w:pPr>
      <w:r>
        <w:rPr>
          <w:rFonts w:ascii="Arial" w:hAnsi="Arial"/>
          <w:sz w:val="24"/>
          <w:szCs w:val="24"/>
          <w:lang w:val="en-US"/>
        </w:rPr>
        <w:t>Word Count: 3,</w:t>
      </w:r>
      <w:r w:rsidR="00CC2324">
        <w:rPr>
          <w:rFonts w:ascii="Arial" w:hAnsi="Arial"/>
          <w:sz w:val="24"/>
          <w:szCs w:val="24"/>
          <w:lang w:val="en-US"/>
        </w:rPr>
        <w:t>8</w:t>
      </w:r>
      <w:r w:rsidR="00CC693A">
        <w:rPr>
          <w:rFonts w:ascii="Arial" w:hAnsi="Arial"/>
          <w:sz w:val="24"/>
          <w:szCs w:val="24"/>
          <w:lang w:val="en-US"/>
        </w:rPr>
        <w:t>45</w:t>
      </w:r>
    </w:p>
    <w:p w:rsidR="00CF084F" w:rsidRDefault="00CF084F">
      <w:pPr>
        <w:pStyle w:val="Body"/>
        <w:spacing w:line="288" w:lineRule="auto"/>
        <w:jc w:val="both"/>
        <w:rPr>
          <w:rFonts w:ascii="Arial" w:eastAsia="Arial" w:hAnsi="Arial" w:cs="Arial"/>
          <w:sz w:val="24"/>
          <w:szCs w:val="24"/>
        </w:rPr>
      </w:pPr>
    </w:p>
    <w:p w:rsidR="00CF084F" w:rsidRDefault="006501ED">
      <w:pPr>
        <w:pStyle w:val="Body"/>
        <w:spacing w:line="288" w:lineRule="auto"/>
        <w:jc w:val="both"/>
        <w:rPr>
          <w:rFonts w:ascii="Arial" w:hAnsi="Arial"/>
          <w:sz w:val="24"/>
          <w:szCs w:val="24"/>
          <w:lang w:val="en-US"/>
        </w:rPr>
      </w:pPr>
      <w:r>
        <w:rPr>
          <w:rFonts w:ascii="Arial" w:hAnsi="Arial"/>
          <w:sz w:val="24"/>
          <w:szCs w:val="24"/>
          <w:lang w:val="en-US"/>
        </w:rPr>
        <w:t xml:space="preserve">Dr. </w:t>
      </w:r>
      <w:r w:rsidR="00346DCB">
        <w:rPr>
          <w:rFonts w:ascii="Arial" w:hAnsi="Arial"/>
          <w:sz w:val="24"/>
          <w:szCs w:val="24"/>
          <w:lang w:val="en-US"/>
        </w:rPr>
        <w:t>Anahita Sharma</w:t>
      </w:r>
    </w:p>
    <w:p w:rsidR="00B74F6E" w:rsidRPr="00B74F6E" w:rsidRDefault="00B74F6E">
      <w:pPr>
        <w:pStyle w:val="Body"/>
        <w:spacing w:line="288" w:lineRule="auto"/>
        <w:jc w:val="both"/>
        <w:rPr>
          <w:rFonts w:ascii="Arial" w:eastAsia="Arial" w:hAnsi="Arial" w:cs="Arial"/>
          <w:sz w:val="24"/>
          <w:szCs w:val="24"/>
          <w:lang w:val="en-US"/>
        </w:rPr>
      </w:pPr>
      <w:r>
        <w:rPr>
          <w:rFonts w:ascii="Arial" w:eastAsia="Arial" w:hAnsi="Arial" w:cs="Arial"/>
          <w:sz w:val="24"/>
          <w:szCs w:val="24"/>
          <w:lang w:val="en-US"/>
        </w:rPr>
        <w:t>Corresponding author</w:t>
      </w:r>
    </w:p>
    <w:p w:rsidR="00A97908" w:rsidRDefault="006501ED">
      <w:pPr>
        <w:pStyle w:val="Body"/>
        <w:spacing w:line="288" w:lineRule="auto"/>
        <w:jc w:val="both"/>
        <w:rPr>
          <w:rFonts w:ascii="Arial" w:hAnsi="Arial"/>
          <w:sz w:val="24"/>
          <w:szCs w:val="24"/>
          <w:lang w:val="en-US"/>
        </w:rPr>
      </w:pPr>
      <w:r>
        <w:rPr>
          <w:rFonts w:ascii="Arial" w:hAnsi="Arial"/>
          <w:sz w:val="24"/>
          <w:szCs w:val="24"/>
          <w:lang w:val="en-US"/>
        </w:rPr>
        <w:t xml:space="preserve">Academic Foundation </w:t>
      </w:r>
      <w:r w:rsidR="00A97908">
        <w:rPr>
          <w:rFonts w:ascii="Arial" w:hAnsi="Arial"/>
          <w:sz w:val="24"/>
          <w:szCs w:val="24"/>
          <w:lang w:val="en-US"/>
        </w:rPr>
        <w:t>Doctor, University of Liverpool</w:t>
      </w:r>
      <w:r>
        <w:rPr>
          <w:rFonts w:ascii="Arial" w:hAnsi="Arial"/>
          <w:sz w:val="24"/>
          <w:szCs w:val="24"/>
          <w:lang w:val="en-US"/>
        </w:rPr>
        <w:t xml:space="preserve"> </w:t>
      </w:r>
    </w:p>
    <w:p w:rsidR="00CC2324" w:rsidRPr="00A97908" w:rsidRDefault="00CC2324">
      <w:pPr>
        <w:pStyle w:val="Body"/>
        <w:spacing w:line="288" w:lineRule="auto"/>
        <w:jc w:val="both"/>
        <w:rPr>
          <w:rFonts w:ascii="Arial" w:hAnsi="Arial"/>
          <w:sz w:val="24"/>
          <w:szCs w:val="24"/>
          <w:lang w:val="en-US"/>
        </w:rPr>
      </w:pPr>
      <w:r>
        <w:rPr>
          <w:rFonts w:ascii="Arial" w:hAnsi="Arial"/>
          <w:sz w:val="24"/>
          <w:szCs w:val="24"/>
          <w:lang w:val="en-US"/>
        </w:rPr>
        <w:t>Aintree University NHS Hospitals Foundation Trust, Lower Lane, Liverpool, United Kingdom L9 7AL</w:t>
      </w:r>
    </w:p>
    <w:p w:rsidR="00CF084F" w:rsidRPr="006501ED" w:rsidRDefault="00346DCB">
      <w:pPr>
        <w:pStyle w:val="Body"/>
        <w:spacing w:line="288" w:lineRule="auto"/>
        <w:jc w:val="both"/>
        <w:rPr>
          <w:rFonts w:ascii="Arial" w:eastAsia="Arial" w:hAnsi="Arial" w:cs="Arial"/>
          <w:sz w:val="24"/>
          <w:szCs w:val="24"/>
          <w:lang w:val="fr-FR"/>
        </w:rPr>
      </w:pPr>
      <w:r w:rsidRPr="006501ED">
        <w:rPr>
          <w:rFonts w:ascii="Arial" w:hAnsi="Arial"/>
          <w:sz w:val="24"/>
          <w:szCs w:val="24"/>
          <w:lang w:val="fr-FR"/>
        </w:rPr>
        <w:t xml:space="preserve">Email: </w:t>
      </w:r>
      <w:hyperlink r:id="rId7" w:history="1">
        <w:r w:rsidRPr="006501ED">
          <w:rPr>
            <w:rStyle w:val="Hyperlink0"/>
            <w:rFonts w:ascii="Arial" w:hAnsi="Arial"/>
            <w:sz w:val="24"/>
            <w:szCs w:val="24"/>
            <w:lang w:val="fr-FR"/>
          </w:rPr>
          <w:t>anahitasharma@doctors.org.uk</w:t>
        </w:r>
      </w:hyperlink>
      <w:r w:rsidRPr="006501ED">
        <w:rPr>
          <w:rFonts w:ascii="Arial" w:hAnsi="Arial"/>
          <w:sz w:val="24"/>
          <w:szCs w:val="24"/>
          <w:lang w:val="fr-FR"/>
        </w:rPr>
        <w:t xml:space="preserve"> </w:t>
      </w:r>
    </w:p>
    <w:p w:rsidR="00CF084F" w:rsidRPr="006501ED" w:rsidRDefault="00CF084F">
      <w:pPr>
        <w:pStyle w:val="Body"/>
        <w:spacing w:line="288" w:lineRule="auto"/>
        <w:jc w:val="both"/>
        <w:rPr>
          <w:rFonts w:ascii="Arial" w:eastAsia="Arial" w:hAnsi="Arial" w:cs="Arial"/>
          <w:sz w:val="24"/>
          <w:szCs w:val="24"/>
          <w:lang w:val="fr-FR"/>
        </w:rPr>
      </w:pPr>
    </w:p>
    <w:p w:rsidR="00CF084F" w:rsidRPr="006501ED" w:rsidRDefault="00CF084F">
      <w:pPr>
        <w:pStyle w:val="Body"/>
        <w:spacing w:line="288" w:lineRule="auto"/>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6501ED" w:rsidRDefault="00CF084F">
      <w:pPr>
        <w:pStyle w:val="Body"/>
        <w:jc w:val="both"/>
        <w:rPr>
          <w:rFonts w:ascii="Arial" w:eastAsia="Arial" w:hAnsi="Arial" w:cs="Arial"/>
          <w:sz w:val="24"/>
          <w:szCs w:val="24"/>
          <w:lang w:val="fr-FR"/>
        </w:rPr>
      </w:pPr>
    </w:p>
    <w:p w:rsidR="00CF084F" w:rsidRPr="00DA7D43" w:rsidRDefault="00346DCB" w:rsidP="00DA7D43">
      <w:pPr>
        <w:pStyle w:val="Heading"/>
        <w:spacing w:line="480" w:lineRule="auto"/>
        <w:jc w:val="both"/>
        <w:rPr>
          <w:rFonts w:ascii="Arial" w:eastAsia="Arial" w:hAnsi="Arial" w:cs="Arial"/>
          <w:sz w:val="24"/>
          <w:szCs w:val="24"/>
          <w:u w:val="single"/>
          <w:lang w:val="fr-FR"/>
        </w:rPr>
      </w:pPr>
      <w:r w:rsidRPr="00CC2324">
        <w:rPr>
          <w:rFonts w:ascii="Arial" w:hAnsi="Arial"/>
          <w:sz w:val="24"/>
          <w:szCs w:val="24"/>
          <w:u w:val="single"/>
          <w:lang w:val="fr-FR"/>
        </w:rPr>
        <w:lastRenderedPageBreak/>
        <w:t>Abstract</w:t>
      </w:r>
    </w:p>
    <w:p w:rsidR="00CC2324" w:rsidRPr="00CC2324" w:rsidRDefault="00CC2324" w:rsidP="00DA7D43">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480" w:lineRule="auto"/>
        <w:jc w:val="both"/>
        <w:rPr>
          <w:rFonts w:ascii="Arial" w:hAnsi="Arial" w:cs="Arial"/>
          <w:color w:val="000000"/>
        </w:rPr>
      </w:pPr>
      <w:r w:rsidRPr="00CC2324">
        <w:rPr>
          <w:rFonts w:ascii="Arial" w:hAnsi="Arial" w:cs="Arial"/>
          <w:color w:val="000000"/>
        </w:rPr>
        <w:t xml:space="preserve">Acute care has historically been </w:t>
      </w:r>
      <w:r w:rsidR="00B74F6E">
        <w:rPr>
          <w:rFonts w:ascii="Arial" w:hAnsi="Arial" w:cs="Arial"/>
          <w:color w:val="000000"/>
        </w:rPr>
        <w:t>a relatively</w:t>
      </w:r>
      <w:r w:rsidRPr="00CC2324">
        <w:rPr>
          <w:rFonts w:ascii="Arial" w:hAnsi="Arial" w:cs="Arial"/>
          <w:color w:val="000000"/>
        </w:rPr>
        <w:t xml:space="preserve"> peripheral </w:t>
      </w:r>
      <w:r w:rsidR="00B74F6E">
        <w:rPr>
          <w:rFonts w:ascii="Arial" w:hAnsi="Arial" w:cs="Arial"/>
          <w:color w:val="000000"/>
        </w:rPr>
        <w:t>area on</w:t>
      </w:r>
      <w:r w:rsidRPr="00CC2324">
        <w:rPr>
          <w:rFonts w:ascii="Arial" w:hAnsi="Arial" w:cs="Arial"/>
          <w:color w:val="000000"/>
        </w:rPr>
        <w:t xml:space="preserve"> the global health agenda. Emergency care was </w:t>
      </w:r>
      <w:r w:rsidR="00B74F6E">
        <w:rPr>
          <w:rFonts w:ascii="Arial" w:hAnsi="Arial" w:cs="Arial"/>
          <w:color w:val="000000"/>
        </w:rPr>
        <w:t xml:space="preserve">first </w:t>
      </w:r>
      <w:r w:rsidRPr="00CC2324">
        <w:rPr>
          <w:rFonts w:ascii="Arial" w:hAnsi="Arial" w:cs="Arial"/>
          <w:color w:val="000000"/>
        </w:rPr>
        <w:t>identified as a global priority at the WHO’s 60</w:t>
      </w:r>
      <w:r w:rsidRPr="00CC2324">
        <w:rPr>
          <w:rFonts w:ascii="Arial" w:hAnsi="Arial" w:cs="Arial"/>
          <w:color w:val="000000"/>
          <w:vertAlign w:val="superscript"/>
        </w:rPr>
        <w:t>th</w:t>
      </w:r>
      <w:r w:rsidRPr="00CC2324">
        <w:rPr>
          <w:rFonts w:ascii="Arial" w:hAnsi="Arial" w:cs="Arial"/>
          <w:color w:val="000000"/>
        </w:rPr>
        <w:t xml:space="preserve"> World Health Assembly in 2007.  </w:t>
      </w:r>
      <w:r>
        <w:rPr>
          <w:rFonts w:ascii="Arial" w:hAnsi="Arial" w:cs="Arial"/>
          <w:color w:val="000000"/>
        </w:rPr>
        <w:t>The</w:t>
      </w:r>
      <w:r w:rsidRPr="00CC2324">
        <w:rPr>
          <w:rFonts w:ascii="Arial" w:hAnsi="Arial" w:cs="Arial"/>
          <w:color w:val="000000"/>
        </w:rPr>
        <w:t xml:space="preserve"> WHO first </w:t>
      </w:r>
      <w:r>
        <w:rPr>
          <w:rFonts w:ascii="Arial" w:hAnsi="Arial" w:cs="Arial"/>
          <w:color w:val="000000"/>
        </w:rPr>
        <w:t>mandated</w:t>
      </w:r>
      <w:r w:rsidRPr="00CC2324">
        <w:rPr>
          <w:rFonts w:ascii="Arial" w:hAnsi="Arial" w:cs="Arial"/>
          <w:color w:val="000000"/>
        </w:rPr>
        <w:t xml:space="preserve"> international coordination over the global shortage of human resources in health (HRH) in 2006. Little research has focused on the intersection of these </w:t>
      </w:r>
      <w:r w:rsidR="00B74F6E">
        <w:rPr>
          <w:rFonts w:ascii="Arial" w:hAnsi="Arial" w:cs="Arial"/>
          <w:color w:val="000000"/>
        </w:rPr>
        <w:t>problems</w:t>
      </w:r>
      <w:r w:rsidRPr="00CC2324">
        <w:rPr>
          <w:rFonts w:ascii="Arial" w:hAnsi="Arial" w:cs="Arial"/>
          <w:color w:val="000000"/>
        </w:rPr>
        <w:t>, regarding the international workforce working in acute care.</w:t>
      </w:r>
    </w:p>
    <w:p w:rsidR="00CC2324" w:rsidRPr="00CC2324" w:rsidRDefault="00CC2324" w:rsidP="00DA7D43">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480" w:lineRule="auto"/>
        <w:jc w:val="both"/>
        <w:rPr>
          <w:rFonts w:ascii="Arial" w:hAnsi="Arial" w:cs="Arial"/>
          <w:color w:val="000000"/>
        </w:rPr>
      </w:pPr>
    </w:p>
    <w:p w:rsidR="00CC2324" w:rsidRPr="00CC2324" w:rsidRDefault="00CC2324" w:rsidP="00DA7D43">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480" w:lineRule="auto"/>
        <w:jc w:val="both"/>
        <w:rPr>
          <w:rFonts w:ascii="Arial" w:hAnsi="Arial" w:cs="Arial"/>
          <w:b/>
          <w:color w:val="000000"/>
          <w:u w:val="single"/>
        </w:rPr>
      </w:pPr>
      <w:r w:rsidRPr="00CC2324">
        <w:rPr>
          <w:rFonts w:ascii="Arial" w:hAnsi="Arial" w:cs="Arial"/>
          <w:b/>
          <w:color w:val="000000"/>
          <w:u w:val="single"/>
        </w:rPr>
        <w:t>Methods</w:t>
      </w:r>
    </w:p>
    <w:p w:rsidR="00CC2324" w:rsidRPr="00CC2324" w:rsidRDefault="00CC2324" w:rsidP="00DA7D43">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480" w:lineRule="auto"/>
        <w:jc w:val="both"/>
        <w:rPr>
          <w:rFonts w:ascii="Arial" w:hAnsi="Arial" w:cs="Arial"/>
          <w:color w:val="000000"/>
        </w:rPr>
      </w:pPr>
      <w:r w:rsidRPr="00CC2324">
        <w:rPr>
          <w:rFonts w:ascii="Arial" w:hAnsi="Arial" w:cs="Arial"/>
          <w:color w:val="000000"/>
        </w:rPr>
        <w:t>A systematic search was conducted to retrieve articles evaluating components of secondary-level local, local, regional or national acute services published in academic journals</w:t>
      </w:r>
      <w:r w:rsidR="00B74F6E">
        <w:rPr>
          <w:rFonts w:ascii="Arial" w:hAnsi="Arial" w:cs="Arial"/>
          <w:color w:val="000000"/>
        </w:rPr>
        <w:t xml:space="preserve"> from 2000 onwards</w:t>
      </w:r>
      <w:r w:rsidRPr="00CC2324">
        <w:rPr>
          <w:rFonts w:ascii="Arial" w:hAnsi="Arial" w:cs="Arial"/>
          <w:color w:val="000000"/>
        </w:rPr>
        <w:t>. A thematic analysis of selected articles was completed with a focus on human resource capacities, utilising a framework-based synthesis approach.</w:t>
      </w:r>
    </w:p>
    <w:p w:rsidR="00CC2324" w:rsidRPr="00CC2324" w:rsidRDefault="00CC2324" w:rsidP="00DA7D43">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480" w:lineRule="auto"/>
        <w:jc w:val="both"/>
        <w:rPr>
          <w:rFonts w:ascii="Arial" w:hAnsi="Arial" w:cs="Arial"/>
          <w:color w:val="000000"/>
        </w:rPr>
      </w:pPr>
    </w:p>
    <w:p w:rsidR="00CC2324" w:rsidRPr="00CC2324" w:rsidRDefault="00CC2324" w:rsidP="00DA7D43">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480" w:lineRule="auto"/>
        <w:jc w:val="both"/>
        <w:rPr>
          <w:rFonts w:ascii="Arial" w:hAnsi="Arial" w:cs="Arial"/>
          <w:b/>
          <w:color w:val="000000"/>
          <w:u w:val="single"/>
        </w:rPr>
      </w:pPr>
      <w:r w:rsidRPr="00CC2324">
        <w:rPr>
          <w:rFonts w:ascii="Arial" w:hAnsi="Arial" w:cs="Arial"/>
          <w:b/>
          <w:color w:val="000000"/>
          <w:u w:val="single"/>
        </w:rPr>
        <w:t>Results</w:t>
      </w:r>
    </w:p>
    <w:p w:rsidR="00CC2324" w:rsidRPr="00CC2324" w:rsidRDefault="00CC2324" w:rsidP="00DA7D43">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480" w:lineRule="auto"/>
        <w:jc w:val="both"/>
        <w:rPr>
          <w:rFonts w:ascii="Arial" w:hAnsi="Arial" w:cs="Arial"/>
          <w:color w:val="000000"/>
        </w:rPr>
      </w:pPr>
      <w:r w:rsidRPr="00CC2324">
        <w:rPr>
          <w:rFonts w:ascii="Arial" w:hAnsi="Arial" w:cs="Arial"/>
          <w:color w:val="000000"/>
        </w:rPr>
        <w:t>73 articles based in 44 countries were retrieved, of which 43 were cross-sectional studies and 22 were qualitative case reports. Articles largely reported inadequate competencies</w:t>
      </w:r>
      <w:r w:rsidR="00B74F6E">
        <w:rPr>
          <w:rFonts w:ascii="Arial" w:hAnsi="Arial" w:cs="Arial"/>
          <w:color w:val="000000"/>
        </w:rPr>
        <w:t xml:space="preserve">, </w:t>
      </w:r>
      <w:r w:rsidRPr="00CC2324">
        <w:rPr>
          <w:rFonts w:ascii="Arial" w:hAnsi="Arial" w:cs="Arial"/>
          <w:color w:val="000000"/>
        </w:rPr>
        <w:t xml:space="preserve">training </w:t>
      </w:r>
      <w:r w:rsidR="00B74F6E">
        <w:rPr>
          <w:rFonts w:ascii="Arial" w:hAnsi="Arial" w:cs="Arial"/>
          <w:color w:val="000000"/>
        </w:rPr>
        <w:t>opportunities</w:t>
      </w:r>
      <w:r w:rsidRPr="00CC2324">
        <w:rPr>
          <w:rFonts w:ascii="Arial" w:hAnsi="Arial" w:cs="Arial"/>
          <w:color w:val="000000"/>
        </w:rPr>
        <w:t xml:space="preserve"> and </w:t>
      </w:r>
      <w:r w:rsidR="00B74F6E">
        <w:rPr>
          <w:rFonts w:ascii="Arial" w:hAnsi="Arial" w:cs="Arial"/>
          <w:color w:val="000000"/>
        </w:rPr>
        <w:t xml:space="preserve">insufficient </w:t>
      </w:r>
      <w:r w:rsidRPr="00CC2324">
        <w:rPr>
          <w:rFonts w:ascii="Arial" w:hAnsi="Arial" w:cs="Arial"/>
          <w:color w:val="000000"/>
        </w:rPr>
        <w:t>physical resource</w:t>
      </w:r>
      <w:r w:rsidR="00B74F6E">
        <w:rPr>
          <w:rFonts w:ascii="Arial" w:hAnsi="Arial" w:cs="Arial"/>
          <w:color w:val="000000"/>
        </w:rPr>
        <w:t xml:space="preserve"> within local emergency medical systems</w:t>
      </w:r>
      <w:r w:rsidRPr="00CC2324">
        <w:rPr>
          <w:rFonts w:ascii="Arial" w:hAnsi="Arial" w:cs="Arial"/>
          <w:color w:val="000000"/>
        </w:rPr>
        <w:t>. Emergency departments</w:t>
      </w:r>
      <w:r w:rsidR="00B74F6E">
        <w:rPr>
          <w:rFonts w:ascii="Arial" w:hAnsi="Arial" w:cs="Arial"/>
          <w:color w:val="000000"/>
        </w:rPr>
        <w:t xml:space="preserve"> worldwide</w:t>
      </w:r>
      <w:r w:rsidRPr="00CC2324">
        <w:rPr>
          <w:rFonts w:ascii="Arial" w:hAnsi="Arial" w:cs="Arial"/>
          <w:color w:val="000000"/>
        </w:rPr>
        <w:t xml:space="preserve"> are widely staffed by unspecialised personnel.  Task-shifting within the acute care sector is frequently employed across the Subsaharan African region. Workforce issues were not restricted to low-income settings. However, a rigorous and </w:t>
      </w:r>
      <w:r w:rsidR="00B74F6E">
        <w:rPr>
          <w:rFonts w:ascii="Arial" w:hAnsi="Arial" w:cs="Arial"/>
          <w:color w:val="000000"/>
        </w:rPr>
        <w:t>stratified global</w:t>
      </w:r>
      <w:r w:rsidRPr="00CC2324">
        <w:rPr>
          <w:rFonts w:ascii="Arial" w:hAnsi="Arial" w:cs="Arial"/>
          <w:color w:val="000000"/>
        </w:rPr>
        <w:t xml:space="preserve"> dataset of workers in this category is not available and would be useful.</w:t>
      </w:r>
    </w:p>
    <w:p w:rsidR="00CC2324" w:rsidRPr="00CC2324" w:rsidRDefault="00CC2324" w:rsidP="00DA7D43">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480" w:lineRule="auto"/>
        <w:jc w:val="both"/>
        <w:rPr>
          <w:rFonts w:ascii="Arial" w:hAnsi="Arial" w:cs="Arial"/>
          <w:color w:val="000000"/>
        </w:rPr>
      </w:pPr>
    </w:p>
    <w:p w:rsidR="00CC2324" w:rsidRPr="00CC2324" w:rsidRDefault="00CC2324" w:rsidP="00DA7D43">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480" w:lineRule="auto"/>
        <w:jc w:val="both"/>
        <w:rPr>
          <w:rFonts w:ascii="Arial" w:hAnsi="Arial" w:cs="Arial"/>
          <w:b/>
          <w:color w:val="000000"/>
          <w:u w:val="single"/>
        </w:rPr>
      </w:pPr>
      <w:r w:rsidRPr="00CC2324">
        <w:rPr>
          <w:rFonts w:ascii="Arial" w:hAnsi="Arial" w:cs="Arial"/>
          <w:b/>
          <w:color w:val="000000"/>
          <w:u w:val="single"/>
        </w:rPr>
        <w:t>Conclusion</w:t>
      </w:r>
    </w:p>
    <w:p w:rsidR="00CC2324" w:rsidRPr="00DA7D43" w:rsidRDefault="003E75FA" w:rsidP="00DA7D43">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rPr>
          <w:rFonts w:ascii="Arial" w:eastAsia="Times New Roman" w:hAnsi="Arial" w:cs="Arial"/>
          <w:bdr w:val="none" w:sz="0" w:space="0" w:color="auto"/>
          <w:lang w:val="en-IN"/>
        </w:rPr>
      </w:pPr>
      <w:r>
        <w:rPr>
          <w:rFonts w:ascii="Arial" w:hAnsi="Arial" w:cs="Arial"/>
          <w:color w:val="000000"/>
        </w:rPr>
        <w:t>Emergency medical</w:t>
      </w:r>
      <w:r w:rsidR="00CC2324" w:rsidRPr="00CC2324">
        <w:rPr>
          <w:rFonts w:ascii="Arial" w:hAnsi="Arial" w:cs="Arial"/>
          <w:color w:val="000000"/>
        </w:rPr>
        <w:t xml:space="preserve"> systems are undergoing a </w:t>
      </w:r>
      <w:r w:rsidR="00CC2324">
        <w:rPr>
          <w:rFonts w:ascii="Arial" w:hAnsi="Arial" w:cs="Arial"/>
          <w:color w:val="000000"/>
        </w:rPr>
        <w:t>period</w:t>
      </w:r>
      <w:r w:rsidR="00CC2324" w:rsidRPr="00CC2324">
        <w:rPr>
          <w:rFonts w:ascii="Arial" w:hAnsi="Arial" w:cs="Arial"/>
          <w:color w:val="000000"/>
        </w:rPr>
        <w:t xml:space="preserve"> of development worldwide. </w:t>
      </w:r>
      <w:r w:rsidR="00B74F6E" w:rsidRPr="00CC2324">
        <w:rPr>
          <w:rFonts w:ascii="Arial" w:hAnsi="Arial" w:cs="Arial"/>
          <w:color w:val="000000"/>
        </w:rPr>
        <w:t xml:space="preserve">Inadequacies regarding supervision, infrastructure, and support services are </w:t>
      </w:r>
      <w:r w:rsidR="00B74F6E">
        <w:rPr>
          <w:rFonts w:ascii="Arial" w:hAnsi="Arial" w:cs="Arial"/>
          <w:color w:val="000000"/>
        </w:rPr>
        <w:t>not</w:t>
      </w:r>
      <w:r w:rsidR="00B74F6E" w:rsidRPr="00CC2324">
        <w:rPr>
          <w:rFonts w:ascii="Arial" w:hAnsi="Arial" w:cs="Arial"/>
          <w:color w:val="000000"/>
        </w:rPr>
        <w:t xml:space="preserve"> frequently </w:t>
      </w:r>
      <w:r w:rsidR="00B74F6E" w:rsidRPr="00CC2324">
        <w:rPr>
          <w:rFonts w:ascii="Arial" w:hAnsi="Arial" w:cs="Arial"/>
          <w:color w:val="000000"/>
        </w:rPr>
        <w:lastRenderedPageBreak/>
        <w:t>address</w:t>
      </w:r>
      <w:r w:rsidR="00B74F6E">
        <w:rPr>
          <w:rFonts w:ascii="Arial" w:hAnsi="Arial" w:cs="Arial"/>
          <w:color w:val="000000"/>
        </w:rPr>
        <w:t>ed</w:t>
      </w:r>
      <w:r w:rsidR="00B74F6E" w:rsidRPr="00CC2324">
        <w:rPr>
          <w:rFonts w:ascii="Arial" w:hAnsi="Arial" w:cs="Arial"/>
          <w:color w:val="000000"/>
        </w:rPr>
        <w:t xml:space="preserve"> and should not be neglected in human resource policy. </w:t>
      </w:r>
      <w:r w:rsidR="00B74F6E">
        <w:rPr>
          <w:rFonts w:ascii="Arial" w:hAnsi="Arial" w:cs="Arial"/>
          <w:color w:val="000000"/>
        </w:rPr>
        <w:t>Identifying</w:t>
      </w:r>
      <w:r w:rsidR="00CC2324" w:rsidRPr="00CC2324">
        <w:rPr>
          <w:rFonts w:ascii="Arial" w:hAnsi="Arial" w:cs="Arial"/>
          <w:color w:val="000000"/>
        </w:rPr>
        <w:t xml:space="preserve"> the successes and failures of systems on a global scale to date can prove useful for health systems planning and policy.</w:t>
      </w:r>
    </w:p>
    <w:p w:rsidR="00CF084F" w:rsidRDefault="00CF084F" w:rsidP="00DA7D43">
      <w:pPr>
        <w:pStyle w:val="Body"/>
        <w:spacing w:line="480" w:lineRule="auto"/>
        <w:jc w:val="both"/>
        <w:rPr>
          <w:rFonts w:ascii="Arial" w:eastAsia="Arial" w:hAnsi="Arial" w:cs="Arial"/>
          <w:sz w:val="24"/>
          <w:szCs w:val="24"/>
        </w:rPr>
      </w:pPr>
    </w:p>
    <w:p w:rsidR="00CF084F" w:rsidRPr="00297D19" w:rsidRDefault="00297D19" w:rsidP="00DA7D43">
      <w:pPr>
        <w:pStyle w:val="Body"/>
        <w:spacing w:line="480" w:lineRule="auto"/>
        <w:jc w:val="both"/>
        <w:rPr>
          <w:rFonts w:ascii="Arial" w:eastAsia="Arial" w:hAnsi="Arial" w:cs="Arial"/>
          <w:sz w:val="24"/>
          <w:szCs w:val="24"/>
        </w:rPr>
      </w:pPr>
      <w:r>
        <w:rPr>
          <w:rFonts w:ascii="Arial" w:eastAsia="Arial" w:hAnsi="Arial" w:cs="Arial"/>
          <w:b/>
          <w:sz w:val="24"/>
          <w:szCs w:val="24"/>
          <w:u w:val="single"/>
        </w:rPr>
        <w:t>Key words</w:t>
      </w:r>
      <w:r>
        <w:rPr>
          <w:rFonts w:ascii="Arial" w:eastAsia="Arial" w:hAnsi="Arial" w:cs="Arial"/>
          <w:sz w:val="24"/>
          <w:szCs w:val="24"/>
        </w:rPr>
        <w:t>: acute care; emergency care; emergency medical systems; international emergency medicine; human resources in healthcare; workforce; personnel</w:t>
      </w:r>
    </w:p>
    <w:p w:rsidR="00CC2324" w:rsidRDefault="00CC2324" w:rsidP="00DA7D43">
      <w:pPr>
        <w:spacing w:line="480" w:lineRule="auto"/>
        <w:rPr>
          <w:rFonts w:ascii="Arial" w:hAnsi="Arial" w:cs="Arial Unicode MS"/>
          <w:b/>
          <w:bCs/>
          <w:color w:val="000000"/>
          <w:u w:val="single"/>
        </w:rPr>
      </w:pPr>
    </w:p>
    <w:p w:rsidR="00CF084F" w:rsidRDefault="00297D19" w:rsidP="00DA7D43">
      <w:pPr>
        <w:pStyle w:val="Heading"/>
        <w:spacing w:line="480" w:lineRule="auto"/>
        <w:jc w:val="both"/>
        <w:rPr>
          <w:rFonts w:ascii="Arial" w:eastAsia="Arial" w:hAnsi="Arial" w:cs="Arial"/>
          <w:sz w:val="24"/>
          <w:szCs w:val="24"/>
          <w:u w:val="single"/>
        </w:rPr>
      </w:pPr>
      <w:r>
        <w:rPr>
          <w:rFonts w:ascii="Arial" w:hAnsi="Arial"/>
          <w:sz w:val="24"/>
          <w:szCs w:val="24"/>
          <w:u w:val="single"/>
        </w:rPr>
        <w:t>Background</w:t>
      </w:r>
    </w:p>
    <w:p w:rsidR="00CF084F" w:rsidRDefault="00CF084F" w:rsidP="00DA7D43">
      <w:pPr>
        <w:pStyle w:val="Body"/>
        <w:spacing w:line="480" w:lineRule="auto"/>
        <w:jc w:val="both"/>
        <w:rPr>
          <w:rFonts w:ascii="Arial" w:eastAsia="Arial" w:hAnsi="Arial" w:cs="Arial"/>
          <w:sz w:val="24"/>
          <w:szCs w:val="24"/>
        </w:rPr>
      </w:pPr>
    </w:p>
    <w:p w:rsidR="00CF084F" w:rsidRDefault="003E75FA" w:rsidP="00DA7D43">
      <w:pPr>
        <w:pStyle w:val="Body"/>
        <w:spacing w:line="480" w:lineRule="auto"/>
        <w:jc w:val="both"/>
        <w:rPr>
          <w:rFonts w:ascii="Arial" w:eastAsia="Arial" w:hAnsi="Arial" w:cs="Arial"/>
          <w:sz w:val="24"/>
          <w:szCs w:val="24"/>
        </w:rPr>
      </w:pPr>
      <w:r>
        <w:rPr>
          <w:rFonts w:ascii="Arial" w:hAnsi="Arial"/>
          <w:sz w:val="24"/>
          <w:szCs w:val="24"/>
          <w:lang w:val="en-US"/>
        </w:rPr>
        <w:t>Emergency</w:t>
      </w:r>
      <w:r w:rsidR="00346DCB">
        <w:rPr>
          <w:rFonts w:ascii="Arial" w:hAnsi="Arial"/>
          <w:sz w:val="24"/>
          <w:szCs w:val="24"/>
          <w:lang w:val="en-US"/>
        </w:rPr>
        <w:t xml:space="preserve"> care delivery has historically been neglected by global health targets.</w:t>
      </w:r>
      <w:r w:rsidR="00346DCB">
        <w:rPr>
          <w:rFonts w:ascii="Arial" w:hAnsi="Arial"/>
          <w:sz w:val="24"/>
          <w:szCs w:val="24"/>
          <w:vertAlign w:val="superscript"/>
        </w:rPr>
        <w:t>[1]</w:t>
      </w:r>
      <w:r w:rsidR="00346DCB">
        <w:rPr>
          <w:rFonts w:ascii="Arial" w:hAnsi="Arial"/>
          <w:sz w:val="24"/>
          <w:szCs w:val="24"/>
          <w:lang w:val="en-US"/>
        </w:rPr>
        <w:t xml:space="preserve"> The World Health Organisation (WHO) first demarcated emergency care as a global priority at the 60</w:t>
      </w:r>
      <w:r w:rsidR="00346DCB">
        <w:rPr>
          <w:rFonts w:ascii="Arial" w:hAnsi="Arial"/>
          <w:sz w:val="24"/>
          <w:szCs w:val="24"/>
          <w:vertAlign w:val="superscript"/>
          <w:lang w:val="en-US"/>
        </w:rPr>
        <w:t>th</w:t>
      </w:r>
      <w:r w:rsidR="00346DCB">
        <w:rPr>
          <w:rFonts w:ascii="Arial" w:hAnsi="Arial"/>
          <w:sz w:val="24"/>
          <w:szCs w:val="24"/>
          <w:lang w:val="en-US"/>
        </w:rPr>
        <w:t xml:space="preserve"> World Health Assembly (WHA) in 2007.</w:t>
      </w:r>
      <w:r w:rsidR="00346DCB">
        <w:rPr>
          <w:rFonts w:ascii="Arial" w:hAnsi="Arial"/>
          <w:sz w:val="24"/>
          <w:szCs w:val="24"/>
          <w:vertAlign w:val="superscript"/>
          <w:lang w:val="pt-PT"/>
        </w:rPr>
        <w:t>[2]</w:t>
      </w:r>
      <w:r w:rsidR="00346DCB">
        <w:rPr>
          <w:rFonts w:ascii="Arial" w:hAnsi="Arial"/>
          <w:sz w:val="24"/>
          <w:szCs w:val="24"/>
          <w:lang w:val="en-US"/>
        </w:rPr>
        <w:t xml:space="preserve"> </w:t>
      </w:r>
    </w:p>
    <w:p w:rsidR="00CF084F" w:rsidRDefault="00346DCB" w:rsidP="00DA7D43">
      <w:pPr>
        <w:pStyle w:val="Body"/>
        <w:spacing w:line="480" w:lineRule="auto"/>
        <w:jc w:val="both"/>
        <w:rPr>
          <w:rFonts w:ascii="Arial" w:eastAsia="Arial" w:hAnsi="Arial" w:cs="Arial"/>
          <w:sz w:val="24"/>
          <w:szCs w:val="24"/>
        </w:rPr>
      </w:pPr>
      <w:r>
        <w:rPr>
          <w:rFonts w:ascii="Arial" w:eastAsia="Arial" w:hAnsi="Arial" w:cs="Arial"/>
          <w:sz w:val="24"/>
          <w:szCs w:val="24"/>
        </w:rPr>
        <w:tab/>
      </w: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 xml:space="preserve">Contemporaneously, research into human resources in health has grown over past decades, unearthing large variations in workforces worldwide. The magnitude </w:t>
      </w:r>
      <w:r w:rsidR="00F405EA">
        <w:rPr>
          <w:rFonts w:ascii="Arial" w:hAnsi="Arial"/>
          <w:sz w:val="24"/>
          <w:szCs w:val="24"/>
          <w:lang w:val="en-US"/>
        </w:rPr>
        <w:t>of the problem is</w:t>
      </w:r>
      <w:r>
        <w:rPr>
          <w:rFonts w:ascii="Arial" w:hAnsi="Arial"/>
          <w:sz w:val="24"/>
          <w:szCs w:val="24"/>
          <w:lang w:val="en-US"/>
        </w:rPr>
        <w:t xml:space="preserve"> </w:t>
      </w:r>
      <w:r w:rsidR="00F405EA">
        <w:rPr>
          <w:rFonts w:ascii="Arial" w:hAnsi="Arial"/>
          <w:sz w:val="24"/>
          <w:szCs w:val="24"/>
          <w:lang w:val="en-US"/>
        </w:rPr>
        <w:t>underscored</w:t>
      </w:r>
      <w:r>
        <w:rPr>
          <w:rFonts w:ascii="Arial" w:hAnsi="Arial"/>
          <w:sz w:val="24"/>
          <w:szCs w:val="24"/>
          <w:lang w:val="en-US"/>
        </w:rPr>
        <w:t xml:space="preserve"> by the </w:t>
      </w:r>
      <w:r w:rsidR="00F405EA">
        <w:rPr>
          <w:rFonts w:ascii="Arial" w:hAnsi="Arial"/>
          <w:sz w:val="24"/>
          <w:szCs w:val="24"/>
          <w:lang w:val="en-US"/>
        </w:rPr>
        <w:t xml:space="preserve">vast </w:t>
      </w:r>
      <w:r>
        <w:rPr>
          <w:rFonts w:ascii="Arial" w:hAnsi="Arial"/>
          <w:sz w:val="24"/>
          <w:szCs w:val="24"/>
          <w:lang w:val="en-US"/>
        </w:rPr>
        <w:t>numbers of personnel involved. In 2004, the global aggregate of doctors, nurses, and midwives, was recorded at 24 million.</w:t>
      </w:r>
      <w:r>
        <w:rPr>
          <w:rFonts w:ascii="Arial" w:hAnsi="Arial"/>
          <w:sz w:val="24"/>
          <w:szCs w:val="24"/>
          <w:vertAlign w:val="superscript"/>
        </w:rPr>
        <w:t>[3]</w:t>
      </w:r>
      <w:r>
        <w:rPr>
          <w:rFonts w:ascii="Arial" w:hAnsi="Arial"/>
          <w:sz w:val="24"/>
          <w:szCs w:val="24"/>
          <w:vertAlign w:val="superscript"/>
          <w:lang w:val="en-US"/>
        </w:rPr>
        <w:t xml:space="preserve"> </w:t>
      </w:r>
      <w:r>
        <w:rPr>
          <w:rFonts w:ascii="Arial" w:hAnsi="Arial"/>
          <w:sz w:val="24"/>
          <w:szCs w:val="24"/>
          <w:lang w:val="en-US"/>
        </w:rPr>
        <w:t>WHO figures tell us the largest proportion of government health expenditure</w:t>
      </w:r>
      <w:r>
        <w:rPr>
          <w:rFonts w:ascii="Arial" w:hAnsi="Arial"/>
          <w:sz w:val="24"/>
          <w:szCs w:val="24"/>
        </w:rPr>
        <w:t xml:space="preserve"> </w:t>
      </w:r>
      <w:r>
        <w:rPr>
          <w:rFonts w:ascii="Arial" w:hAnsi="Arial"/>
          <w:sz w:val="24"/>
          <w:szCs w:val="24"/>
          <w:lang w:val="en-US"/>
        </w:rPr>
        <w:t>is consistently allocated to human resources, representing 65%</w:t>
      </w:r>
      <w:r w:rsidR="002F0F3C">
        <w:rPr>
          <w:rFonts w:ascii="Arial" w:hAnsi="Arial"/>
          <w:sz w:val="24"/>
          <w:szCs w:val="24"/>
          <w:lang w:val="en-US"/>
        </w:rPr>
        <w:t>–</w:t>
      </w:r>
      <w:r>
        <w:rPr>
          <w:rFonts w:ascii="Arial" w:hAnsi="Arial"/>
          <w:sz w:val="24"/>
          <w:szCs w:val="24"/>
          <w:lang w:val="en-US"/>
        </w:rPr>
        <w:t>80% of recurrent expenditure.</w:t>
      </w:r>
      <w:r>
        <w:rPr>
          <w:rFonts w:ascii="Arial" w:hAnsi="Arial"/>
          <w:sz w:val="24"/>
          <w:szCs w:val="24"/>
          <w:vertAlign w:val="superscript"/>
        </w:rPr>
        <w:t>[4][5]</w:t>
      </w:r>
      <w:r>
        <w:rPr>
          <w:rFonts w:ascii="Arial" w:hAnsi="Arial"/>
          <w:sz w:val="24"/>
          <w:szCs w:val="24"/>
          <w:vertAlign w:val="superscript"/>
          <w:lang w:val="en-US"/>
        </w:rPr>
        <w:t xml:space="preserve"> </w:t>
      </w:r>
      <w:r>
        <w:rPr>
          <w:rFonts w:ascii="Arial" w:hAnsi="Arial"/>
          <w:sz w:val="24"/>
          <w:szCs w:val="24"/>
          <w:lang w:val="en-US"/>
        </w:rPr>
        <w:t>In spite of this</w:t>
      </w:r>
      <w:r w:rsidR="002F0F3C">
        <w:rPr>
          <w:rFonts w:ascii="Arial" w:hAnsi="Arial"/>
          <w:sz w:val="24"/>
          <w:szCs w:val="24"/>
          <w:lang w:val="en-US"/>
        </w:rPr>
        <w:t xml:space="preserve"> resource allocation</w:t>
      </w:r>
      <w:r>
        <w:rPr>
          <w:rFonts w:ascii="Arial" w:hAnsi="Arial"/>
          <w:sz w:val="24"/>
          <w:szCs w:val="24"/>
          <w:lang w:val="en-US"/>
        </w:rPr>
        <w:t>, the WHO estimated a world shortage of 4.3 million healthcare workers in 2006.</w:t>
      </w:r>
      <w:r>
        <w:rPr>
          <w:rFonts w:ascii="Arial" w:hAnsi="Arial"/>
          <w:sz w:val="24"/>
          <w:szCs w:val="24"/>
          <w:vertAlign w:val="superscript"/>
        </w:rPr>
        <w:t>[6]</w:t>
      </w:r>
      <w:r>
        <w:rPr>
          <w:rFonts w:ascii="Arial" w:hAnsi="Arial"/>
          <w:sz w:val="24"/>
          <w:szCs w:val="24"/>
          <w:lang w:val="en-US"/>
        </w:rPr>
        <w:t xml:space="preserve"> </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 xml:space="preserve">The Acute Care Research Collaborative of the University of Maryland Global Health Initiative defines </w:t>
      </w:r>
      <w:r>
        <w:rPr>
          <w:rFonts w:ascii="Arial" w:hAnsi="Arial"/>
          <w:b/>
          <w:bCs/>
          <w:sz w:val="24"/>
          <w:szCs w:val="24"/>
          <w:lang w:val="en-US"/>
        </w:rPr>
        <w:t xml:space="preserve">acute care </w:t>
      </w:r>
      <w:r>
        <w:rPr>
          <w:rFonts w:ascii="Arial" w:hAnsi="Arial"/>
          <w:sz w:val="24"/>
          <w:szCs w:val="24"/>
          <w:lang w:val="en-US"/>
        </w:rPr>
        <w:t xml:space="preserve">as: </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eastAsia="Arial" w:hAnsi="Arial" w:cs="Arial"/>
          <w:sz w:val="24"/>
          <w:szCs w:val="24"/>
        </w:rPr>
        <w:tab/>
      </w:r>
      <w:r>
        <w:rPr>
          <w:rFonts w:ascii="Arial" w:hAnsi="Arial"/>
          <w:sz w:val="24"/>
          <w:szCs w:val="24"/>
          <w:lang w:val="en-US"/>
        </w:rPr>
        <w:t xml:space="preserve">all promotive, preventive, curative, rehabilitative or palliative actions… whose effectiveness largely depends on time-sensitive and, frequently, rapid intervention…to treat </w:t>
      </w:r>
      <w:r>
        <w:rPr>
          <w:rFonts w:ascii="Arial" w:hAnsi="Arial"/>
          <w:sz w:val="24"/>
          <w:szCs w:val="24"/>
          <w:lang w:val="en-US"/>
        </w:rPr>
        <w:lastRenderedPageBreak/>
        <w:t>sudden, often unexpected, urgent or emergent episodes of injury and illness that can lead to death and disability…</w:t>
      </w:r>
      <w:r>
        <w:rPr>
          <w:rFonts w:ascii="Arial" w:hAnsi="Arial"/>
          <w:sz w:val="24"/>
          <w:szCs w:val="24"/>
          <w:vertAlign w:val="superscript"/>
          <w:lang w:val="en-US"/>
        </w:rPr>
        <w:t>[7]</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vertAlign w:val="superscript"/>
        </w:rPr>
      </w:pPr>
      <w:r>
        <w:rPr>
          <w:rFonts w:ascii="Arial" w:hAnsi="Arial"/>
          <w:sz w:val="24"/>
          <w:szCs w:val="24"/>
          <w:lang w:val="en-US"/>
        </w:rPr>
        <w:t>The authors criticise fragmentation with regards to the development of these specialties, which have only begun to develop independently over the past 40 years.</w:t>
      </w:r>
      <w:r>
        <w:rPr>
          <w:rFonts w:ascii="Arial" w:hAnsi="Arial"/>
          <w:sz w:val="24"/>
          <w:szCs w:val="24"/>
          <w:vertAlign w:val="superscript"/>
          <w:lang w:val="en-US"/>
        </w:rPr>
        <w:t xml:space="preserve">[8] </w:t>
      </w:r>
      <w:r>
        <w:rPr>
          <w:rFonts w:ascii="Arial" w:hAnsi="Arial"/>
          <w:sz w:val="24"/>
          <w:szCs w:val="24"/>
          <w:lang w:val="en-US"/>
        </w:rPr>
        <w:t>Integrated emergency care</w:t>
      </w:r>
      <w:r w:rsidR="00B06508">
        <w:rPr>
          <w:rFonts w:ascii="Arial" w:hAnsi="Arial"/>
          <w:sz w:val="24"/>
          <w:szCs w:val="24"/>
          <w:lang w:val="en-US"/>
        </w:rPr>
        <w:t xml:space="preserve"> (Fig. 1)</w:t>
      </w:r>
      <w:r>
        <w:rPr>
          <w:rFonts w:ascii="Arial" w:hAnsi="Arial"/>
          <w:sz w:val="24"/>
          <w:szCs w:val="24"/>
          <w:lang w:val="en-US"/>
        </w:rPr>
        <w:t xml:space="preserve"> allows for injury, communicable, and exacerbations of non-communicable disease to be addressed </w:t>
      </w:r>
      <w:r w:rsidR="001E44FB">
        <w:rPr>
          <w:rFonts w:ascii="Arial" w:hAnsi="Arial"/>
          <w:sz w:val="24"/>
          <w:szCs w:val="24"/>
          <w:lang w:val="en-US"/>
        </w:rPr>
        <w:t>through</w:t>
      </w:r>
      <w:r>
        <w:rPr>
          <w:rFonts w:ascii="Arial" w:hAnsi="Arial"/>
          <w:sz w:val="24"/>
          <w:szCs w:val="24"/>
          <w:lang w:val="en-US"/>
        </w:rPr>
        <w:t xml:space="preserve"> a singular platform.</w:t>
      </w:r>
      <w:r>
        <w:rPr>
          <w:rFonts w:ascii="Arial" w:hAnsi="Arial"/>
          <w:sz w:val="24"/>
          <w:szCs w:val="24"/>
          <w:vertAlign w:val="superscript"/>
          <w:lang w:val="en-US"/>
        </w:rPr>
        <w:t>[9]</w:t>
      </w:r>
    </w:p>
    <w:p w:rsidR="00CF084F" w:rsidRDefault="00CF084F" w:rsidP="00DA7D43">
      <w:pPr>
        <w:pStyle w:val="Body"/>
        <w:spacing w:line="480" w:lineRule="auto"/>
        <w:jc w:val="both"/>
        <w:rPr>
          <w:rFonts w:ascii="Arial" w:eastAsia="Arial" w:hAnsi="Arial" w:cs="Arial"/>
          <w:sz w:val="24"/>
          <w:szCs w:val="24"/>
          <w:vertAlign w:val="superscript"/>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The WHO’s ‘Emergency, Trauma and Acute Care’ programme, initiated in 2014, focuses on emergency medical systems (EMS) which provide ‘early recognition and resuscitation’ across all settings. The 60</w:t>
      </w:r>
      <w:r>
        <w:rPr>
          <w:rFonts w:ascii="Arial" w:hAnsi="Arial"/>
          <w:sz w:val="24"/>
          <w:szCs w:val="24"/>
          <w:vertAlign w:val="superscript"/>
          <w:lang w:val="en-US"/>
        </w:rPr>
        <w:t>th</w:t>
      </w:r>
      <w:r>
        <w:rPr>
          <w:rFonts w:ascii="Arial" w:hAnsi="Arial"/>
          <w:sz w:val="24"/>
          <w:szCs w:val="24"/>
          <w:lang w:val="en-US"/>
        </w:rPr>
        <w:t xml:space="preserve"> WHA resolved to improve working conditions, training incentives, and core competencies within global emergency-care systems.</w:t>
      </w:r>
      <w:r>
        <w:rPr>
          <w:rFonts w:ascii="Arial" w:hAnsi="Arial"/>
          <w:sz w:val="24"/>
          <w:szCs w:val="24"/>
          <w:vertAlign w:val="superscript"/>
          <w:lang w:val="pt-PT"/>
        </w:rPr>
        <w:t>[2]</w:t>
      </w:r>
      <w:r>
        <w:rPr>
          <w:rFonts w:ascii="Arial" w:hAnsi="Arial"/>
          <w:sz w:val="24"/>
          <w:szCs w:val="24"/>
          <w:vertAlign w:val="superscript"/>
          <w:lang w:val="en-US"/>
        </w:rPr>
        <w:t xml:space="preserve"> </w:t>
      </w:r>
      <w:r>
        <w:rPr>
          <w:rFonts w:ascii="Arial" w:hAnsi="Arial"/>
          <w:sz w:val="24"/>
          <w:szCs w:val="24"/>
          <w:lang w:val="en-US"/>
        </w:rPr>
        <w:t xml:space="preserve">However, apart from figures on anaesthesia providers, </w:t>
      </w:r>
      <w:r w:rsidR="001E44FB">
        <w:rPr>
          <w:rFonts w:ascii="Arial" w:hAnsi="Arial"/>
          <w:sz w:val="24"/>
          <w:szCs w:val="24"/>
          <w:lang w:val="en-US"/>
        </w:rPr>
        <w:t xml:space="preserve">precise </w:t>
      </w:r>
      <w:r>
        <w:rPr>
          <w:rFonts w:ascii="Arial" w:hAnsi="Arial"/>
          <w:sz w:val="24"/>
          <w:szCs w:val="24"/>
          <w:lang w:val="en-US"/>
        </w:rPr>
        <w:t xml:space="preserve">numbers of workers operating in this sector </w:t>
      </w:r>
      <w:r w:rsidR="001E44FB">
        <w:rPr>
          <w:rFonts w:ascii="Arial" w:hAnsi="Arial"/>
          <w:sz w:val="24"/>
          <w:szCs w:val="24"/>
          <w:lang w:val="en-US"/>
        </w:rPr>
        <w:t>remain</w:t>
      </w:r>
      <w:r>
        <w:rPr>
          <w:rFonts w:ascii="Arial" w:hAnsi="Arial"/>
          <w:sz w:val="24"/>
          <w:szCs w:val="24"/>
          <w:lang w:val="en-US"/>
        </w:rPr>
        <w:t xml:space="preserve"> unreported</w:t>
      </w:r>
      <w:r>
        <w:rPr>
          <w:rFonts w:ascii="Arial" w:hAnsi="Arial"/>
          <w:sz w:val="24"/>
          <w:szCs w:val="24"/>
        </w:rPr>
        <w:t>.</w:t>
      </w:r>
    </w:p>
    <w:p w:rsidR="00CF084F" w:rsidRDefault="00CF084F" w:rsidP="00DA7D43">
      <w:pPr>
        <w:pStyle w:val="Body"/>
        <w:spacing w:line="480" w:lineRule="auto"/>
        <w:jc w:val="both"/>
        <w:rPr>
          <w:rFonts w:ascii="Arial" w:eastAsia="Arial" w:hAnsi="Arial" w:cs="Arial"/>
          <w:sz w:val="24"/>
          <w:szCs w:val="24"/>
          <w:vertAlign w:val="superscript"/>
        </w:rPr>
      </w:pPr>
    </w:p>
    <w:p w:rsidR="00CF084F" w:rsidRDefault="003E75FA" w:rsidP="00DA7D43">
      <w:pPr>
        <w:pStyle w:val="Body"/>
        <w:spacing w:line="480" w:lineRule="auto"/>
        <w:jc w:val="both"/>
        <w:rPr>
          <w:rFonts w:ascii="Arial" w:eastAsia="Arial" w:hAnsi="Arial" w:cs="Arial"/>
          <w:sz w:val="24"/>
          <w:szCs w:val="24"/>
        </w:rPr>
      </w:pPr>
      <w:r>
        <w:rPr>
          <w:rFonts w:ascii="Arial" w:hAnsi="Arial"/>
          <w:sz w:val="24"/>
          <w:szCs w:val="24"/>
        </w:rPr>
        <w:t xml:space="preserve">This author is based in the United Kingdom. </w:t>
      </w:r>
      <w:r w:rsidR="001E44FB">
        <w:rPr>
          <w:rFonts w:ascii="Arial" w:hAnsi="Arial"/>
          <w:sz w:val="24"/>
          <w:szCs w:val="24"/>
          <w:lang w:val="en-US"/>
        </w:rPr>
        <w:t>Local</w:t>
      </w:r>
      <w:r w:rsidR="00346DCB">
        <w:rPr>
          <w:rFonts w:ascii="Arial" w:hAnsi="Arial"/>
          <w:sz w:val="24"/>
          <w:szCs w:val="24"/>
          <w:lang w:val="en-US"/>
        </w:rPr>
        <w:t xml:space="preserve"> policies </w:t>
      </w:r>
      <w:r>
        <w:rPr>
          <w:rFonts w:ascii="Arial" w:hAnsi="Arial"/>
          <w:sz w:val="24"/>
          <w:szCs w:val="24"/>
          <w:lang w:val="en-US"/>
        </w:rPr>
        <w:t>have been</w:t>
      </w:r>
      <w:r w:rsidR="00346DCB">
        <w:rPr>
          <w:rFonts w:ascii="Arial" w:hAnsi="Arial"/>
          <w:sz w:val="24"/>
          <w:szCs w:val="24"/>
          <w:lang w:val="en-US"/>
        </w:rPr>
        <w:t xml:space="preserve"> symptomatic of the pressures faced in this area: in 2011, the Department of Health established an </w:t>
      </w:r>
      <w:r w:rsidR="00346DCB">
        <w:rPr>
          <w:rFonts w:ascii="Arial" w:hAnsi="Arial"/>
          <w:i/>
          <w:iCs/>
          <w:sz w:val="24"/>
          <w:szCs w:val="24"/>
          <w:lang w:val="en-US"/>
        </w:rPr>
        <w:t>Emergency Medicine Taskforce</w:t>
      </w:r>
      <w:r w:rsidR="00346DCB">
        <w:rPr>
          <w:rFonts w:ascii="Arial" w:hAnsi="Arial"/>
          <w:sz w:val="24"/>
          <w:szCs w:val="24"/>
          <w:lang w:val="en-US"/>
        </w:rPr>
        <w:t xml:space="preserve"> in response to unmet staffing needs. Recommendations included recruiting physician associates and support staff to ease pressures and underlining new terms and conditions to attract doctors into the specialty, including recognition of overseas </w:t>
      </w:r>
      <w:r w:rsidR="001E44FB">
        <w:rPr>
          <w:rFonts w:ascii="Arial" w:hAnsi="Arial"/>
          <w:sz w:val="24"/>
          <w:szCs w:val="24"/>
          <w:lang w:val="en-US"/>
        </w:rPr>
        <w:t>qualifications.</w:t>
      </w:r>
      <w:r w:rsidR="001E44FB">
        <w:rPr>
          <w:rFonts w:ascii="Arial" w:hAnsi="Arial"/>
          <w:sz w:val="24"/>
          <w:szCs w:val="24"/>
          <w:vertAlign w:val="superscript"/>
        </w:rPr>
        <w:t xml:space="preserve"> [</w:t>
      </w:r>
      <w:r w:rsidR="00346DCB">
        <w:rPr>
          <w:rFonts w:ascii="Arial" w:hAnsi="Arial"/>
          <w:sz w:val="24"/>
          <w:szCs w:val="24"/>
          <w:vertAlign w:val="superscript"/>
        </w:rPr>
        <w:t>10]</w:t>
      </w:r>
      <w:r w:rsidR="00346DCB">
        <w:rPr>
          <w:rFonts w:ascii="Arial" w:hAnsi="Arial"/>
          <w:sz w:val="24"/>
          <w:szCs w:val="24"/>
          <w:vertAlign w:val="superscript"/>
          <w:lang w:val="en-US"/>
        </w:rPr>
        <w:t xml:space="preserve"> </w:t>
      </w:r>
      <w:r w:rsidR="00346DCB">
        <w:rPr>
          <w:rFonts w:ascii="Arial" w:hAnsi="Arial"/>
          <w:sz w:val="24"/>
          <w:szCs w:val="24"/>
          <w:lang w:val="en-US"/>
        </w:rPr>
        <w:t>A Freedom of Information request to 54 acute trusts in 2013 revealed that almost 1 in 5 doctors employed in weekend emergency services were temporary ‘locums’.</w:t>
      </w:r>
      <w:r w:rsidR="00346DCB">
        <w:rPr>
          <w:rFonts w:ascii="Arial" w:hAnsi="Arial"/>
          <w:sz w:val="24"/>
          <w:szCs w:val="24"/>
          <w:vertAlign w:val="superscript"/>
        </w:rPr>
        <w:t>[11]</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vertAlign w:val="superscript"/>
        </w:rPr>
      </w:pPr>
      <w:r>
        <w:rPr>
          <w:rFonts w:ascii="Arial" w:hAnsi="Arial"/>
          <w:sz w:val="24"/>
          <w:szCs w:val="24"/>
          <w:lang w:val="en-US"/>
        </w:rPr>
        <w:t>However, absolute numbers of personnel alone do not tell us about their effectiveness. The WHO recognises four dimensions to performance: availability, accessibility, responsiveness, and productivit</w:t>
      </w:r>
      <w:r w:rsidR="00C832C1">
        <w:rPr>
          <w:rFonts w:ascii="Arial" w:hAnsi="Arial"/>
          <w:sz w:val="24"/>
          <w:szCs w:val="24"/>
          <w:lang w:val="en-US"/>
        </w:rPr>
        <w:t>y</w:t>
      </w:r>
      <w:r>
        <w:rPr>
          <w:rFonts w:ascii="Arial" w:hAnsi="Arial"/>
          <w:sz w:val="24"/>
          <w:szCs w:val="24"/>
          <w:lang w:val="en-US"/>
        </w:rPr>
        <w:t>.</w:t>
      </w:r>
      <w:r>
        <w:rPr>
          <w:rFonts w:ascii="Arial" w:hAnsi="Arial"/>
          <w:sz w:val="24"/>
          <w:szCs w:val="24"/>
          <w:vertAlign w:val="superscript"/>
          <w:lang w:val="pt-PT"/>
        </w:rPr>
        <w:t>[12]</w:t>
      </w:r>
      <w:r>
        <w:rPr>
          <w:rFonts w:ascii="Arial" w:hAnsi="Arial"/>
          <w:sz w:val="24"/>
          <w:szCs w:val="24"/>
          <w:vertAlign w:val="superscript"/>
          <w:lang w:val="en-US"/>
        </w:rPr>
        <w:t xml:space="preserve"> </w:t>
      </w:r>
    </w:p>
    <w:p w:rsidR="00CF084F" w:rsidRDefault="00CF084F" w:rsidP="00DA7D43">
      <w:pPr>
        <w:pStyle w:val="Body"/>
        <w:spacing w:line="480" w:lineRule="auto"/>
        <w:jc w:val="both"/>
        <w:rPr>
          <w:rFonts w:ascii="Arial" w:eastAsia="Arial" w:hAnsi="Arial" w:cs="Arial"/>
          <w:sz w:val="24"/>
          <w:szCs w:val="24"/>
          <w:vertAlign w:val="superscript"/>
        </w:rPr>
      </w:pPr>
    </w:p>
    <w:p w:rsidR="001E44FB" w:rsidRDefault="00346DCB" w:rsidP="00DA7D43">
      <w:pPr>
        <w:pStyle w:val="Body"/>
        <w:spacing w:line="480" w:lineRule="auto"/>
        <w:jc w:val="both"/>
        <w:rPr>
          <w:rFonts w:ascii="Arial" w:hAnsi="Arial"/>
          <w:sz w:val="24"/>
          <w:szCs w:val="24"/>
          <w:vertAlign w:val="superscript"/>
          <w:lang w:val="en-US"/>
        </w:rPr>
      </w:pPr>
      <w:r>
        <w:rPr>
          <w:rFonts w:ascii="Arial" w:hAnsi="Arial"/>
          <w:sz w:val="24"/>
          <w:szCs w:val="24"/>
          <w:lang w:val="en-US"/>
        </w:rPr>
        <w:t>In 2004, Potter &amp; Brough recognised that a rigorous definition for ‘capacity-building’ was nonexistent. They developed a comprehensive framework that identifie</w:t>
      </w:r>
      <w:r w:rsidR="001E44FB">
        <w:rPr>
          <w:rFonts w:ascii="Arial" w:hAnsi="Arial"/>
          <w:sz w:val="24"/>
          <w:szCs w:val="24"/>
          <w:lang w:val="en-US"/>
        </w:rPr>
        <w:t>d</w:t>
      </w:r>
      <w:r>
        <w:rPr>
          <w:rFonts w:ascii="Arial" w:hAnsi="Arial"/>
          <w:sz w:val="24"/>
          <w:szCs w:val="24"/>
          <w:lang w:val="en-US"/>
        </w:rPr>
        <w:t xml:space="preserve"> nine separate and interdependent components of ‘capacity building’ (Fig. </w:t>
      </w:r>
      <w:r w:rsidR="00C832C1">
        <w:rPr>
          <w:rFonts w:ascii="Arial" w:hAnsi="Arial"/>
          <w:sz w:val="24"/>
          <w:szCs w:val="24"/>
          <w:lang w:val="en-US"/>
        </w:rPr>
        <w:t>2</w:t>
      </w:r>
      <w:r>
        <w:rPr>
          <w:rFonts w:ascii="Arial" w:hAnsi="Arial"/>
          <w:sz w:val="24"/>
          <w:szCs w:val="24"/>
          <w:lang w:val="en-US"/>
        </w:rPr>
        <w:t xml:space="preserve">) </w:t>
      </w:r>
      <w:r w:rsidR="001E44FB">
        <w:rPr>
          <w:rFonts w:ascii="Arial" w:hAnsi="Arial"/>
          <w:sz w:val="24"/>
          <w:szCs w:val="24"/>
          <w:lang w:val="en-US"/>
        </w:rPr>
        <w:t>that</w:t>
      </w:r>
      <w:r>
        <w:rPr>
          <w:rFonts w:ascii="Arial" w:hAnsi="Arial"/>
          <w:sz w:val="24"/>
          <w:szCs w:val="24"/>
          <w:lang w:val="en-US"/>
        </w:rPr>
        <w:t xml:space="preserve"> are determinants of health workers’ abilities to provide </w:t>
      </w:r>
      <w:r w:rsidR="001E44FB">
        <w:rPr>
          <w:rFonts w:ascii="Arial" w:hAnsi="Arial"/>
          <w:sz w:val="24"/>
          <w:szCs w:val="24"/>
          <w:lang w:val="en-US"/>
        </w:rPr>
        <w:t xml:space="preserve">quality </w:t>
      </w:r>
      <w:r>
        <w:rPr>
          <w:rFonts w:ascii="Arial" w:hAnsi="Arial"/>
          <w:sz w:val="24"/>
          <w:szCs w:val="24"/>
          <w:lang w:val="en-US"/>
        </w:rPr>
        <w:t>care.</w:t>
      </w:r>
      <w:r>
        <w:rPr>
          <w:rFonts w:ascii="Arial" w:hAnsi="Arial"/>
          <w:sz w:val="24"/>
          <w:szCs w:val="24"/>
          <w:vertAlign w:val="superscript"/>
        </w:rPr>
        <w:t>[13]</w:t>
      </w:r>
      <w:r>
        <w:rPr>
          <w:rFonts w:ascii="Arial" w:hAnsi="Arial"/>
          <w:sz w:val="24"/>
          <w:szCs w:val="24"/>
          <w:vertAlign w:val="superscript"/>
          <w:lang w:val="en-US"/>
        </w:rPr>
        <w:t xml:space="preserve"> </w:t>
      </w:r>
    </w:p>
    <w:p w:rsidR="001E44FB" w:rsidRDefault="001E44FB" w:rsidP="00DA7D43">
      <w:pPr>
        <w:pStyle w:val="Body"/>
        <w:spacing w:line="480" w:lineRule="auto"/>
        <w:jc w:val="both"/>
        <w:rPr>
          <w:rFonts w:ascii="Arial" w:hAnsi="Arial"/>
          <w:sz w:val="24"/>
          <w:szCs w:val="24"/>
          <w:vertAlign w:val="superscript"/>
          <w:lang w:val="en-US"/>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This review seeks to elucidate the main problems facing the global acute care workforce contemporarily</w:t>
      </w:r>
      <w:r w:rsidR="001E44FB">
        <w:rPr>
          <w:rFonts w:ascii="Arial" w:hAnsi="Arial"/>
          <w:sz w:val="24"/>
          <w:szCs w:val="24"/>
          <w:lang w:val="en-US"/>
        </w:rPr>
        <w:t xml:space="preserve"> by applying their framework to real-life case studies</w:t>
      </w:r>
      <w:r>
        <w:rPr>
          <w:rFonts w:ascii="Arial" w:hAnsi="Arial"/>
          <w:sz w:val="24"/>
          <w:szCs w:val="24"/>
          <w:lang w:val="en-US"/>
        </w:rPr>
        <w:t>.</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Heading"/>
        <w:spacing w:line="480" w:lineRule="auto"/>
        <w:jc w:val="both"/>
        <w:rPr>
          <w:rFonts w:ascii="Arial" w:eastAsia="Arial" w:hAnsi="Arial" w:cs="Arial"/>
          <w:sz w:val="24"/>
          <w:szCs w:val="24"/>
          <w:u w:val="single"/>
        </w:rPr>
      </w:pPr>
      <w:r>
        <w:rPr>
          <w:rFonts w:ascii="Arial" w:hAnsi="Arial"/>
          <w:sz w:val="24"/>
          <w:szCs w:val="24"/>
          <w:u w:val="single"/>
        </w:rPr>
        <w:t>Methodology</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hAnsi="Arial"/>
          <w:sz w:val="24"/>
          <w:szCs w:val="24"/>
          <w:lang w:val="en-US"/>
        </w:rPr>
      </w:pPr>
      <w:r>
        <w:rPr>
          <w:rFonts w:ascii="Arial" w:hAnsi="Arial"/>
          <w:sz w:val="24"/>
          <w:szCs w:val="24"/>
          <w:lang w:val="en-US"/>
        </w:rPr>
        <w:t>A search strategy was applied, utilising terms based on themes identified following a overview of the field, guided by the WHO</w:t>
      </w:r>
      <w:r>
        <w:rPr>
          <w:rFonts w:ascii="Arial" w:hAnsi="Arial"/>
          <w:sz w:val="24"/>
          <w:szCs w:val="24"/>
        </w:rPr>
        <w:t>’</w:t>
      </w:r>
      <w:r>
        <w:rPr>
          <w:rFonts w:ascii="Arial" w:hAnsi="Arial"/>
          <w:sz w:val="24"/>
          <w:szCs w:val="24"/>
          <w:lang w:val="en-US"/>
        </w:rPr>
        <w:t>s Framework of Health Workforce Development and the identification of emergency service evaluation tools (</w:t>
      </w:r>
      <w:r w:rsidR="0017129E">
        <w:rPr>
          <w:rFonts w:ascii="Arial" w:hAnsi="Arial"/>
          <w:sz w:val="24"/>
          <w:szCs w:val="24"/>
          <w:lang w:val="en-US"/>
        </w:rPr>
        <w:t>Table 1</w:t>
      </w:r>
      <w:r>
        <w:rPr>
          <w:rFonts w:ascii="Arial" w:hAnsi="Arial"/>
          <w:sz w:val="24"/>
          <w:szCs w:val="24"/>
          <w:lang w:val="en-US"/>
        </w:rPr>
        <w:t>)</w:t>
      </w:r>
      <w:r>
        <w:rPr>
          <w:rFonts w:ascii="Arial" w:hAnsi="Arial"/>
          <w:sz w:val="24"/>
          <w:szCs w:val="24"/>
        </w:rPr>
        <w:t xml:space="preserve">. </w:t>
      </w:r>
      <w:r>
        <w:rPr>
          <w:rFonts w:ascii="Arial" w:hAnsi="Arial"/>
          <w:sz w:val="24"/>
          <w:szCs w:val="24"/>
          <w:lang w:val="en-US"/>
        </w:rPr>
        <w:t xml:space="preserve">These were entered into the databases </w:t>
      </w:r>
      <w:r>
        <w:rPr>
          <w:rFonts w:ascii="Arial" w:hAnsi="Arial"/>
          <w:i/>
          <w:iCs/>
          <w:sz w:val="24"/>
          <w:szCs w:val="24"/>
          <w:lang w:val="en-US"/>
        </w:rPr>
        <w:t>Scopus</w:t>
      </w:r>
      <w:r>
        <w:rPr>
          <w:rFonts w:ascii="Arial" w:hAnsi="Arial"/>
          <w:sz w:val="24"/>
          <w:szCs w:val="24"/>
          <w:lang w:val="en-US"/>
        </w:rPr>
        <w:t xml:space="preserve">, </w:t>
      </w:r>
      <w:r>
        <w:rPr>
          <w:rFonts w:ascii="Arial" w:hAnsi="Arial"/>
          <w:i/>
          <w:iCs/>
          <w:sz w:val="24"/>
          <w:szCs w:val="24"/>
          <w:lang w:val="en-US"/>
        </w:rPr>
        <w:t>Web of Science</w:t>
      </w:r>
      <w:r>
        <w:rPr>
          <w:rFonts w:ascii="Arial" w:hAnsi="Arial"/>
          <w:sz w:val="24"/>
          <w:szCs w:val="24"/>
          <w:lang w:val="en-US"/>
        </w:rPr>
        <w:t xml:space="preserve">, </w:t>
      </w:r>
      <w:r>
        <w:rPr>
          <w:rFonts w:ascii="Arial" w:hAnsi="Arial"/>
          <w:i/>
          <w:iCs/>
          <w:sz w:val="24"/>
          <w:szCs w:val="24"/>
          <w:lang w:val="en-US"/>
        </w:rPr>
        <w:t>Medline</w:t>
      </w:r>
      <w:r>
        <w:rPr>
          <w:rFonts w:ascii="Arial" w:hAnsi="Arial"/>
          <w:sz w:val="24"/>
          <w:szCs w:val="24"/>
        </w:rPr>
        <w:t>,</w:t>
      </w:r>
      <w:r>
        <w:rPr>
          <w:rFonts w:ascii="Arial" w:hAnsi="Arial"/>
          <w:sz w:val="24"/>
          <w:szCs w:val="24"/>
          <w:lang w:val="en-US"/>
        </w:rPr>
        <w:t xml:space="preserve"> and </w:t>
      </w:r>
      <w:r>
        <w:rPr>
          <w:rFonts w:ascii="Arial" w:hAnsi="Arial"/>
          <w:i/>
          <w:iCs/>
          <w:sz w:val="24"/>
          <w:szCs w:val="24"/>
          <w:lang w:val="en-US"/>
        </w:rPr>
        <w:t>Google Scholar</w:t>
      </w:r>
      <w:r>
        <w:rPr>
          <w:rFonts w:ascii="Arial" w:hAnsi="Arial"/>
          <w:sz w:val="24"/>
          <w:szCs w:val="24"/>
          <w:lang w:val="en-US"/>
        </w:rPr>
        <w:t xml:space="preserve"> in June 2017, searching abstracts and keywords. Articles evaluating components, quantitatively or qualitatively, of secondary-level local, regional or national acute services published in academic journals were retrieved for thematic analysis. Reference lists of selected papers were </w:t>
      </w:r>
      <w:r w:rsidR="002F0F3C">
        <w:rPr>
          <w:rFonts w:ascii="Arial" w:hAnsi="Arial"/>
          <w:sz w:val="24"/>
          <w:szCs w:val="24"/>
          <w:lang w:val="en-US"/>
        </w:rPr>
        <w:t>searched</w:t>
      </w:r>
      <w:r>
        <w:rPr>
          <w:rFonts w:ascii="Arial" w:hAnsi="Arial"/>
          <w:sz w:val="24"/>
          <w:szCs w:val="24"/>
          <w:lang w:val="en-US"/>
        </w:rPr>
        <w:t xml:space="preserve">. The journals </w:t>
      </w:r>
      <w:r>
        <w:rPr>
          <w:rFonts w:ascii="Arial" w:hAnsi="Arial"/>
          <w:i/>
          <w:iCs/>
          <w:sz w:val="24"/>
          <w:szCs w:val="24"/>
          <w:lang w:val="en-US"/>
        </w:rPr>
        <w:t>International Journal of Emergency Medicine</w:t>
      </w:r>
      <w:r>
        <w:rPr>
          <w:rFonts w:ascii="Arial" w:hAnsi="Arial"/>
          <w:sz w:val="24"/>
          <w:szCs w:val="24"/>
          <w:lang w:val="en-US"/>
        </w:rPr>
        <w:t xml:space="preserve"> and </w:t>
      </w:r>
      <w:r>
        <w:rPr>
          <w:rFonts w:ascii="Arial" w:hAnsi="Arial"/>
          <w:i/>
          <w:iCs/>
          <w:sz w:val="24"/>
          <w:szCs w:val="24"/>
          <w:lang w:val="en-US"/>
        </w:rPr>
        <w:t>Human Resources In Healthcare</w:t>
      </w:r>
      <w:r>
        <w:rPr>
          <w:rFonts w:ascii="Arial" w:hAnsi="Arial"/>
          <w:sz w:val="24"/>
          <w:szCs w:val="24"/>
          <w:lang w:val="en-US"/>
        </w:rPr>
        <w:t xml:space="preserve"> were hand-searched. Articles published before 2000 were excluded, and the search was limited to those published in English. A complete list of these studies is available for reference in the appendix.</w:t>
      </w:r>
    </w:p>
    <w:p w:rsidR="0017129E" w:rsidRDefault="0017129E" w:rsidP="00DA7D43">
      <w:pPr>
        <w:pStyle w:val="Body"/>
        <w:spacing w:line="480" w:lineRule="auto"/>
        <w:jc w:val="both"/>
        <w:rPr>
          <w:rFonts w:ascii="Arial" w:eastAsia="Arial" w:hAnsi="Arial" w:cs="Arial"/>
          <w:sz w:val="24"/>
          <w:szCs w:val="24"/>
        </w:rPr>
      </w:pPr>
    </w:p>
    <w:p w:rsidR="0017129E" w:rsidRDefault="0017129E" w:rsidP="00DA7D43">
      <w:pPr>
        <w:pStyle w:val="Body"/>
        <w:spacing w:line="480" w:lineRule="auto"/>
        <w:jc w:val="both"/>
        <w:rPr>
          <w:rFonts w:ascii="Arial" w:eastAsia="Arial" w:hAnsi="Arial" w:cs="Arial"/>
          <w:sz w:val="24"/>
          <w:szCs w:val="24"/>
        </w:rPr>
      </w:pPr>
    </w:p>
    <w:p w:rsidR="00817A89" w:rsidRDefault="00817A89" w:rsidP="00DA7D43">
      <w:pPr>
        <w:pStyle w:val="Body"/>
        <w:spacing w:line="480" w:lineRule="auto"/>
        <w:jc w:val="both"/>
        <w:rPr>
          <w:rFonts w:ascii="Arial" w:eastAsia="Arial" w:hAnsi="Arial" w:cs="Arial"/>
          <w:sz w:val="24"/>
          <w:szCs w:val="24"/>
        </w:rPr>
      </w:pPr>
    </w:p>
    <w:p w:rsidR="0017129E" w:rsidRDefault="0017129E" w:rsidP="0017129E">
      <w:pPr>
        <w:pStyle w:val="Body"/>
        <w:jc w:val="both"/>
        <w:rPr>
          <w:rFonts w:ascii="Arial" w:eastAsia="Arial" w:hAnsi="Arial" w:cs="Arial"/>
          <w:sz w:val="24"/>
          <w:szCs w:val="24"/>
        </w:rPr>
      </w:pPr>
    </w:p>
    <w:p w:rsidR="0017129E" w:rsidRPr="0017129E" w:rsidRDefault="0017129E" w:rsidP="0017129E">
      <w:pPr>
        <w:pStyle w:val="Caption"/>
        <w:keepNext/>
        <w:jc w:val="center"/>
        <w:rPr>
          <w:rFonts w:ascii="Arial" w:hAnsi="Arial" w:cs="Arial"/>
          <w:sz w:val="24"/>
          <w:szCs w:val="24"/>
        </w:rPr>
      </w:pPr>
      <w:r w:rsidRPr="0017129E">
        <w:rPr>
          <w:rFonts w:ascii="Arial" w:hAnsi="Arial" w:cs="Arial"/>
          <w:sz w:val="24"/>
          <w:szCs w:val="24"/>
        </w:rPr>
        <w:lastRenderedPageBreak/>
        <w:t xml:space="preserve">Table </w:t>
      </w:r>
      <w:r w:rsidRPr="0017129E">
        <w:rPr>
          <w:rFonts w:ascii="Arial" w:hAnsi="Arial" w:cs="Arial"/>
          <w:sz w:val="24"/>
          <w:szCs w:val="24"/>
        </w:rPr>
        <w:fldChar w:fldCharType="begin"/>
      </w:r>
      <w:r w:rsidRPr="0017129E">
        <w:rPr>
          <w:rFonts w:ascii="Arial" w:hAnsi="Arial" w:cs="Arial"/>
          <w:sz w:val="24"/>
          <w:szCs w:val="24"/>
        </w:rPr>
        <w:instrText xml:space="preserve"> SEQ Table \* ARABIC </w:instrText>
      </w:r>
      <w:r w:rsidRPr="0017129E">
        <w:rPr>
          <w:rFonts w:ascii="Arial" w:hAnsi="Arial" w:cs="Arial"/>
          <w:sz w:val="24"/>
          <w:szCs w:val="24"/>
        </w:rPr>
        <w:fldChar w:fldCharType="separate"/>
      </w:r>
      <w:r w:rsidR="009C1879">
        <w:rPr>
          <w:rFonts w:ascii="Arial" w:hAnsi="Arial" w:cs="Arial"/>
          <w:noProof/>
          <w:sz w:val="24"/>
          <w:szCs w:val="24"/>
        </w:rPr>
        <w:t>1</w:t>
      </w:r>
      <w:r w:rsidRPr="0017129E">
        <w:rPr>
          <w:rFonts w:ascii="Arial" w:hAnsi="Arial" w:cs="Arial"/>
          <w:sz w:val="24"/>
          <w:szCs w:val="24"/>
        </w:rPr>
        <w:fldChar w:fldCharType="end"/>
      </w:r>
      <w:r w:rsidRPr="0017129E">
        <w:rPr>
          <w:rFonts w:ascii="Arial" w:hAnsi="Arial" w:cs="Arial"/>
          <w:sz w:val="24"/>
          <w:szCs w:val="24"/>
        </w:rPr>
        <w:t>: Search terms applied to databases</w:t>
      </w:r>
    </w:p>
    <w:tbl>
      <w:tblPr>
        <w:tblW w:w="8921" w:type="dxa"/>
        <w:tblInd w:w="351" w:type="dxa"/>
        <w:tblCellMar>
          <w:left w:w="0" w:type="dxa"/>
          <w:right w:w="0" w:type="dxa"/>
        </w:tblCellMar>
        <w:tblLook w:val="0600" w:firstRow="0" w:lastRow="0" w:firstColumn="0" w:lastColumn="0" w:noHBand="1" w:noVBand="1"/>
      </w:tblPr>
      <w:tblGrid>
        <w:gridCol w:w="2560"/>
        <w:gridCol w:w="6361"/>
      </w:tblGrid>
      <w:tr w:rsidR="0017129E" w:rsidRPr="0017129E" w:rsidTr="0017129E">
        <w:trPr>
          <w:trHeight w:val="159"/>
        </w:trPr>
        <w:tc>
          <w:tcPr>
            <w:tcW w:w="2560" w:type="dxa"/>
            <w:tcBorders>
              <w:top w:val="single" w:sz="8" w:space="0" w:color="000000"/>
              <w:left w:val="single" w:sz="8" w:space="0" w:color="000000"/>
              <w:bottom w:val="single" w:sz="6" w:space="0" w:color="515151"/>
              <w:right w:val="single" w:sz="6" w:space="0" w:color="000000"/>
            </w:tcBorders>
            <w:shd w:val="clear" w:color="auto" w:fill="auto"/>
            <w:tcMar>
              <w:top w:w="20" w:type="dxa"/>
              <w:left w:w="20" w:type="dxa"/>
              <w:bottom w:w="20" w:type="dxa"/>
              <w:right w:w="20" w:type="dxa"/>
            </w:tcMar>
            <w:hideMark/>
          </w:tcPr>
          <w:p w:rsidR="0017129E" w:rsidRPr="0017129E" w:rsidRDefault="0017129E" w:rsidP="0017129E">
            <w:pPr>
              <w:pStyle w:val="Body"/>
              <w:jc w:val="both"/>
              <w:rPr>
                <w:rFonts w:ascii="Arial" w:eastAsia="Arial" w:hAnsi="Arial" w:cs="Arial"/>
              </w:rPr>
            </w:pPr>
            <w:r w:rsidRPr="0017129E">
              <w:rPr>
                <w:rFonts w:ascii="Arial" w:eastAsia="Arial" w:hAnsi="Arial" w:cs="Arial"/>
                <w:b/>
                <w:bCs/>
              </w:rPr>
              <w:t>Area of interest</w:t>
            </w:r>
          </w:p>
        </w:tc>
        <w:tc>
          <w:tcPr>
            <w:tcW w:w="6361" w:type="dxa"/>
            <w:tcBorders>
              <w:top w:val="single" w:sz="8" w:space="0" w:color="000000"/>
              <w:left w:val="single" w:sz="6" w:space="0" w:color="000000"/>
              <w:bottom w:val="single" w:sz="6" w:space="0" w:color="515151"/>
              <w:right w:val="single" w:sz="8" w:space="0" w:color="000000"/>
            </w:tcBorders>
            <w:shd w:val="clear" w:color="auto" w:fill="auto"/>
            <w:tcMar>
              <w:top w:w="20" w:type="dxa"/>
              <w:left w:w="20" w:type="dxa"/>
              <w:bottom w:w="20" w:type="dxa"/>
              <w:right w:w="20" w:type="dxa"/>
            </w:tcMar>
            <w:hideMark/>
          </w:tcPr>
          <w:p w:rsidR="0017129E" w:rsidRPr="0017129E" w:rsidRDefault="0017129E" w:rsidP="0017129E">
            <w:pPr>
              <w:pStyle w:val="Body"/>
              <w:jc w:val="both"/>
              <w:rPr>
                <w:rFonts w:ascii="Arial" w:eastAsia="Arial" w:hAnsi="Arial" w:cs="Arial"/>
              </w:rPr>
            </w:pPr>
            <w:r w:rsidRPr="0017129E">
              <w:rPr>
                <w:rFonts w:ascii="Arial" w:eastAsia="Arial" w:hAnsi="Arial" w:cs="Arial"/>
                <w:b/>
                <w:bCs/>
              </w:rPr>
              <w:t>Search terms</w:t>
            </w:r>
          </w:p>
        </w:tc>
      </w:tr>
      <w:tr w:rsidR="0017129E" w:rsidRPr="0017129E" w:rsidTr="0017129E">
        <w:trPr>
          <w:trHeight w:val="659"/>
        </w:trPr>
        <w:tc>
          <w:tcPr>
            <w:tcW w:w="2560" w:type="dxa"/>
            <w:vMerge w:val="restart"/>
            <w:tcBorders>
              <w:top w:val="single" w:sz="6" w:space="0" w:color="515151"/>
              <w:left w:val="single" w:sz="8" w:space="0" w:color="000000"/>
              <w:bottom w:val="single" w:sz="6" w:space="0" w:color="000000"/>
              <w:right w:val="single" w:sz="6" w:space="0" w:color="000000"/>
            </w:tcBorders>
            <w:shd w:val="clear" w:color="auto" w:fill="auto"/>
            <w:tcMar>
              <w:top w:w="20" w:type="dxa"/>
              <w:left w:w="20" w:type="dxa"/>
              <w:bottom w:w="20" w:type="dxa"/>
              <w:right w:w="20" w:type="dxa"/>
            </w:tcMar>
            <w:hideMark/>
          </w:tcPr>
          <w:p w:rsidR="0017129E" w:rsidRPr="0017129E" w:rsidRDefault="0017129E" w:rsidP="0017129E">
            <w:pPr>
              <w:pStyle w:val="Body"/>
              <w:jc w:val="both"/>
              <w:rPr>
                <w:rFonts w:ascii="Arial" w:eastAsia="Arial" w:hAnsi="Arial" w:cs="Arial"/>
              </w:rPr>
            </w:pPr>
            <w:r w:rsidRPr="0017129E">
              <w:rPr>
                <w:rFonts w:ascii="Arial" w:eastAsia="Arial" w:hAnsi="Arial" w:cs="Arial"/>
              </w:rPr>
              <w:t>Human resources in acute care</w:t>
            </w:r>
          </w:p>
          <w:p w:rsidR="0017129E" w:rsidRPr="0017129E" w:rsidRDefault="0017129E" w:rsidP="0017129E">
            <w:pPr>
              <w:pStyle w:val="Body"/>
              <w:jc w:val="both"/>
              <w:rPr>
                <w:rFonts w:ascii="Arial" w:eastAsia="Arial" w:hAnsi="Arial" w:cs="Arial"/>
              </w:rPr>
            </w:pPr>
          </w:p>
        </w:tc>
        <w:tc>
          <w:tcPr>
            <w:tcW w:w="6361" w:type="dxa"/>
            <w:tcBorders>
              <w:top w:val="single" w:sz="6" w:space="0" w:color="515151"/>
              <w:left w:val="single" w:sz="6" w:space="0" w:color="000000"/>
              <w:bottom w:val="single" w:sz="8" w:space="0" w:color="000000"/>
              <w:right w:val="single" w:sz="8" w:space="0" w:color="000000"/>
            </w:tcBorders>
            <w:shd w:val="clear" w:color="auto" w:fill="auto"/>
            <w:tcMar>
              <w:top w:w="20" w:type="dxa"/>
              <w:left w:w="20" w:type="dxa"/>
              <w:bottom w:w="20" w:type="dxa"/>
              <w:right w:w="20" w:type="dxa"/>
            </w:tcMar>
            <w:hideMark/>
          </w:tcPr>
          <w:p w:rsidR="0017129E" w:rsidRPr="0017129E" w:rsidRDefault="0017129E" w:rsidP="0017129E">
            <w:pPr>
              <w:pStyle w:val="Body"/>
              <w:jc w:val="both"/>
              <w:rPr>
                <w:rFonts w:ascii="Arial" w:eastAsia="Arial" w:hAnsi="Arial" w:cs="Arial"/>
              </w:rPr>
            </w:pPr>
            <w:r w:rsidRPr="0017129E">
              <w:rPr>
                <w:rFonts w:ascii="Arial" w:eastAsia="Arial" w:hAnsi="Arial" w:cs="Arial"/>
              </w:rPr>
              <w:t>“Human resources” OR “personnel” OR “workforce” OR “manpower” AND “healthcare”</w:t>
            </w:r>
          </w:p>
        </w:tc>
      </w:tr>
      <w:tr w:rsidR="0017129E" w:rsidRPr="0017129E" w:rsidTr="0017129E">
        <w:trPr>
          <w:trHeight w:val="159"/>
        </w:trPr>
        <w:tc>
          <w:tcPr>
            <w:tcW w:w="0" w:type="auto"/>
            <w:vMerge/>
            <w:tcBorders>
              <w:top w:val="single" w:sz="6" w:space="0" w:color="515151"/>
              <w:left w:val="single" w:sz="8" w:space="0" w:color="000000"/>
              <w:bottom w:val="single" w:sz="6" w:space="0" w:color="000000"/>
              <w:right w:val="single" w:sz="6" w:space="0" w:color="000000"/>
            </w:tcBorders>
            <w:vAlign w:val="center"/>
            <w:hideMark/>
          </w:tcPr>
          <w:p w:rsidR="0017129E" w:rsidRPr="0017129E" w:rsidRDefault="0017129E" w:rsidP="0017129E">
            <w:pPr>
              <w:pStyle w:val="Body"/>
              <w:jc w:val="both"/>
              <w:rPr>
                <w:rFonts w:ascii="Arial" w:eastAsia="Arial" w:hAnsi="Arial" w:cs="Arial"/>
              </w:rPr>
            </w:pPr>
          </w:p>
        </w:tc>
        <w:tc>
          <w:tcPr>
            <w:tcW w:w="6361" w:type="dxa"/>
            <w:tcBorders>
              <w:top w:val="single" w:sz="8" w:space="0" w:color="000000"/>
              <w:left w:val="single" w:sz="6" w:space="0" w:color="000000"/>
              <w:bottom w:val="single" w:sz="8" w:space="0" w:color="000000"/>
              <w:right w:val="single" w:sz="8" w:space="0" w:color="000000"/>
            </w:tcBorders>
            <w:shd w:val="clear" w:color="auto" w:fill="auto"/>
            <w:tcMar>
              <w:top w:w="20" w:type="dxa"/>
              <w:left w:w="20" w:type="dxa"/>
              <w:bottom w:w="20" w:type="dxa"/>
              <w:right w:w="20" w:type="dxa"/>
            </w:tcMar>
            <w:hideMark/>
          </w:tcPr>
          <w:p w:rsidR="0017129E" w:rsidRPr="0017129E" w:rsidRDefault="0017129E" w:rsidP="0017129E">
            <w:pPr>
              <w:pStyle w:val="Body"/>
              <w:jc w:val="both"/>
              <w:rPr>
                <w:rFonts w:ascii="Arial" w:eastAsia="Arial" w:hAnsi="Arial" w:cs="Arial"/>
              </w:rPr>
            </w:pPr>
            <w:r w:rsidRPr="0017129E">
              <w:rPr>
                <w:rFonts w:ascii="Arial" w:eastAsia="Arial" w:hAnsi="Arial" w:cs="Arial"/>
                <w:i/>
                <w:iCs/>
              </w:rPr>
              <w:t>AND</w:t>
            </w:r>
          </w:p>
        </w:tc>
      </w:tr>
      <w:tr w:rsidR="0017129E" w:rsidRPr="0017129E" w:rsidTr="0017129E">
        <w:trPr>
          <w:trHeight w:val="1158"/>
        </w:trPr>
        <w:tc>
          <w:tcPr>
            <w:tcW w:w="0" w:type="auto"/>
            <w:vMerge/>
            <w:tcBorders>
              <w:top w:val="single" w:sz="6" w:space="0" w:color="515151"/>
              <w:left w:val="single" w:sz="8" w:space="0" w:color="000000"/>
              <w:bottom w:val="single" w:sz="6" w:space="0" w:color="000000"/>
              <w:right w:val="single" w:sz="6" w:space="0" w:color="000000"/>
            </w:tcBorders>
            <w:vAlign w:val="center"/>
            <w:hideMark/>
          </w:tcPr>
          <w:p w:rsidR="0017129E" w:rsidRPr="0017129E" w:rsidRDefault="0017129E" w:rsidP="0017129E">
            <w:pPr>
              <w:pStyle w:val="Body"/>
              <w:jc w:val="both"/>
              <w:rPr>
                <w:rFonts w:ascii="Arial" w:eastAsia="Arial" w:hAnsi="Arial" w:cs="Arial"/>
              </w:rPr>
            </w:pPr>
          </w:p>
        </w:tc>
        <w:tc>
          <w:tcPr>
            <w:tcW w:w="6361" w:type="dxa"/>
            <w:tcBorders>
              <w:top w:val="single" w:sz="8" w:space="0" w:color="000000"/>
              <w:left w:val="single" w:sz="6" w:space="0" w:color="000000"/>
              <w:bottom w:val="single" w:sz="6" w:space="0" w:color="000000"/>
              <w:right w:val="single" w:sz="8" w:space="0" w:color="000000"/>
            </w:tcBorders>
            <w:shd w:val="clear" w:color="auto" w:fill="auto"/>
            <w:tcMar>
              <w:top w:w="20" w:type="dxa"/>
              <w:left w:w="20" w:type="dxa"/>
              <w:bottom w:w="20" w:type="dxa"/>
              <w:right w:w="20" w:type="dxa"/>
            </w:tcMar>
            <w:hideMark/>
          </w:tcPr>
          <w:p w:rsidR="0017129E" w:rsidRPr="0017129E" w:rsidRDefault="0017129E" w:rsidP="0017129E">
            <w:pPr>
              <w:pStyle w:val="Body"/>
              <w:jc w:val="both"/>
              <w:rPr>
                <w:rFonts w:ascii="Arial" w:eastAsia="Arial" w:hAnsi="Arial" w:cs="Arial"/>
              </w:rPr>
            </w:pPr>
            <w:r w:rsidRPr="0017129E">
              <w:rPr>
                <w:rFonts w:ascii="Arial" w:eastAsia="Arial" w:hAnsi="Arial" w:cs="Arial"/>
              </w:rPr>
              <w:t xml:space="preserve">“Acute care” OR “Intensive care” OR </w:t>
            </w:r>
            <w:r w:rsidR="003E75FA">
              <w:rPr>
                <w:rFonts w:ascii="Arial" w:eastAsia="Arial" w:hAnsi="Arial" w:cs="Arial"/>
              </w:rPr>
              <w:t>“</w:t>
            </w:r>
            <w:r w:rsidRPr="0017129E">
              <w:rPr>
                <w:rFonts w:ascii="Arial" w:eastAsia="Arial" w:hAnsi="Arial" w:cs="Arial"/>
              </w:rPr>
              <w:t>critical care</w:t>
            </w:r>
            <w:r w:rsidR="003E75FA">
              <w:rPr>
                <w:rFonts w:ascii="Arial" w:eastAsia="Arial" w:hAnsi="Arial" w:cs="Arial"/>
              </w:rPr>
              <w:t>”</w:t>
            </w:r>
            <w:r w:rsidRPr="0017129E">
              <w:rPr>
                <w:rFonts w:ascii="Arial" w:eastAsia="Arial" w:hAnsi="Arial" w:cs="Arial"/>
              </w:rPr>
              <w:t xml:space="preserve"> OR “Emergency care”</w:t>
            </w:r>
          </w:p>
          <w:p w:rsidR="0017129E" w:rsidRPr="0017129E" w:rsidRDefault="0017129E" w:rsidP="0017129E">
            <w:pPr>
              <w:pStyle w:val="Body"/>
              <w:jc w:val="both"/>
              <w:rPr>
                <w:rFonts w:ascii="Arial" w:eastAsia="Arial" w:hAnsi="Arial" w:cs="Arial"/>
              </w:rPr>
            </w:pPr>
            <w:r w:rsidRPr="0017129E">
              <w:rPr>
                <w:rFonts w:ascii="Arial" w:eastAsia="Arial" w:hAnsi="Arial" w:cs="Arial"/>
              </w:rPr>
              <w:t xml:space="preserve">“Emergency and Essential Surgical Care” </w:t>
            </w:r>
            <w:r w:rsidRPr="0017129E">
              <w:rPr>
                <w:rFonts w:ascii="Arial" w:eastAsia="Arial" w:hAnsi="Arial" w:cs="Arial"/>
              </w:rPr>
              <w:br/>
              <w:t>“National ED Inventories Survey”</w:t>
            </w:r>
          </w:p>
        </w:tc>
      </w:tr>
      <w:tr w:rsidR="0017129E" w:rsidRPr="0017129E" w:rsidTr="0017129E">
        <w:trPr>
          <w:trHeight w:val="3778"/>
        </w:trPr>
        <w:tc>
          <w:tcPr>
            <w:tcW w:w="2560" w:type="dxa"/>
            <w:tcBorders>
              <w:top w:val="single" w:sz="6" w:space="0" w:color="000000"/>
              <w:left w:val="single" w:sz="8" w:space="0" w:color="000000"/>
              <w:bottom w:val="single" w:sz="6" w:space="0" w:color="000000"/>
              <w:right w:val="single" w:sz="6" w:space="0" w:color="000000"/>
            </w:tcBorders>
            <w:shd w:val="clear" w:color="auto" w:fill="auto"/>
            <w:tcMar>
              <w:top w:w="20" w:type="dxa"/>
              <w:left w:w="20" w:type="dxa"/>
              <w:bottom w:w="20" w:type="dxa"/>
              <w:right w:w="20" w:type="dxa"/>
            </w:tcMar>
            <w:hideMark/>
          </w:tcPr>
          <w:p w:rsidR="0017129E" w:rsidRPr="0017129E" w:rsidRDefault="0017129E" w:rsidP="0017129E">
            <w:pPr>
              <w:pStyle w:val="Body"/>
              <w:jc w:val="both"/>
              <w:rPr>
                <w:rFonts w:ascii="Arial" w:eastAsia="Arial" w:hAnsi="Arial" w:cs="Arial"/>
              </w:rPr>
            </w:pPr>
            <w:r w:rsidRPr="0017129E">
              <w:rPr>
                <w:rFonts w:ascii="Arial" w:eastAsia="Arial" w:hAnsi="Arial" w:cs="Arial"/>
              </w:rPr>
              <w:t>Literature review</w:t>
            </w:r>
          </w:p>
        </w:tc>
        <w:tc>
          <w:tcPr>
            <w:tcW w:w="6361" w:type="dxa"/>
            <w:tcBorders>
              <w:top w:val="single" w:sz="6" w:space="0" w:color="000000"/>
              <w:left w:val="single" w:sz="6" w:space="0" w:color="000000"/>
              <w:bottom w:val="single" w:sz="6" w:space="0" w:color="000000"/>
              <w:right w:val="single" w:sz="8" w:space="0" w:color="000000"/>
            </w:tcBorders>
            <w:shd w:val="clear" w:color="auto" w:fill="auto"/>
            <w:tcMar>
              <w:top w:w="20" w:type="dxa"/>
              <w:left w:w="20" w:type="dxa"/>
              <w:bottom w:w="20" w:type="dxa"/>
              <w:right w:w="20" w:type="dxa"/>
            </w:tcMar>
            <w:hideMark/>
          </w:tcPr>
          <w:p w:rsidR="0017129E" w:rsidRPr="0017129E" w:rsidRDefault="0017129E" w:rsidP="0017129E">
            <w:pPr>
              <w:pStyle w:val="Body"/>
              <w:jc w:val="both"/>
              <w:rPr>
                <w:rFonts w:ascii="Arial" w:eastAsia="Arial" w:hAnsi="Arial" w:cs="Arial"/>
              </w:rPr>
            </w:pPr>
            <w:r w:rsidRPr="0017129E">
              <w:rPr>
                <w:rFonts w:ascii="Arial" w:eastAsia="Arial" w:hAnsi="Arial" w:cs="Arial"/>
              </w:rPr>
              <w:t>Healthcare system</w:t>
            </w:r>
          </w:p>
          <w:p w:rsidR="0017129E" w:rsidRPr="0017129E" w:rsidRDefault="0017129E" w:rsidP="0017129E">
            <w:pPr>
              <w:pStyle w:val="Body"/>
              <w:jc w:val="both"/>
              <w:rPr>
                <w:rFonts w:ascii="Arial" w:eastAsia="Arial" w:hAnsi="Arial" w:cs="Arial"/>
              </w:rPr>
            </w:pPr>
            <w:r w:rsidRPr="0017129E">
              <w:rPr>
                <w:rFonts w:ascii="Arial" w:eastAsia="Arial" w:hAnsi="Arial" w:cs="Arial"/>
              </w:rPr>
              <w:t>Healthcare structure</w:t>
            </w:r>
          </w:p>
          <w:p w:rsidR="0017129E" w:rsidRPr="0017129E" w:rsidRDefault="0017129E" w:rsidP="0017129E">
            <w:pPr>
              <w:pStyle w:val="Body"/>
              <w:jc w:val="both"/>
              <w:rPr>
                <w:rFonts w:ascii="Arial" w:eastAsia="Arial" w:hAnsi="Arial" w:cs="Arial"/>
              </w:rPr>
            </w:pPr>
            <w:r w:rsidRPr="0017129E">
              <w:rPr>
                <w:rFonts w:ascii="Arial" w:eastAsia="Arial" w:hAnsi="Arial" w:cs="Arial"/>
              </w:rPr>
              <w:t>Healthcare delivery</w:t>
            </w:r>
          </w:p>
          <w:p w:rsidR="0017129E" w:rsidRPr="0017129E" w:rsidRDefault="0017129E" w:rsidP="0017129E">
            <w:pPr>
              <w:pStyle w:val="Body"/>
              <w:jc w:val="both"/>
              <w:rPr>
                <w:rFonts w:ascii="Arial" w:eastAsia="Arial" w:hAnsi="Arial" w:cs="Arial"/>
              </w:rPr>
            </w:pPr>
            <w:r w:rsidRPr="0017129E">
              <w:rPr>
                <w:rFonts w:ascii="Arial" w:eastAsia="Arial" w:hAnsi="Arial" w:cs="Arial"/>
              </w:rPr>
              <w:t>Coverage</w:t>
            </w:r>
          </w:p>
          <w:p w:rsidR="0017129E" w:rsidRPr="0017129E" w:rsidRDefault="0017129E" w:rsidP="0017129E">
            <w:pPr>
              <w:pStyle w:val="Body"/>
              <w:jc w:val="both"/>
              <w:rPr>
                <w:rFonts w:ascii="Arial" w:eastAsia="Arial" w:hAnsi="Arial" w:cs="Arial"/>
              </w:rPr>
            </w:pPr>
            <w:r w:rsidRPr="0017129E">
              <w:rPr>
                <w:rFonts w:ascii="Arial" w:eastAsia="Arial" w:hAnsi="Arial" w:cs="Arial"/>
              </w:rPr>
              <w:t>Community health workers</w:t>
            </w:r>
          </w:p>
          <w:p w:rsidR="0017129E" w:rsidRPr="0017129E" w:rsidRDefault="0017129E" w:rsidP="0017129E">
            <w:pPr>
              <w:pStyle w:val="Body"/>
              <w:jc w:val="both"/>
              <w:rPr>
                <w:rFonts w:ascii="Arial" w:eastAsia="Arial" w:hAnsi="Arial" w:cs="Arial"/>
              </w:rPr>
            </w:pPr>
            <w:r w:rsidRPr="0017129E">
              <w:rPr>
                <w:rFonts w:ascii="Arial" w:eastAsia="Arial" w:hAnsi="Arial" w:cs="Arial"/>
              </w:rPr>
              <w:t>Healthcare expenditure</w:t>
            </w:r>
          </w:p>
          <w:p w:rsidR="0017129E" w:rsidRPr="0017129E" w:rsidRDefault="0017129E" w:rsidP="0017129E">
            <w:pPr>
              <w:pStyle w:val="Body"/>
              <w:jc w:val="both"/>
              <w:rPr>
                <w:rFonts w:ascii="Arial" w:eastAsia="Arial" w:hAnsi="Arial" w:cs="Arial"/>
              </w:rPr>
            </w:pPr>
          </w:p>
          <w:p w:rsidR="0017129E" w:rsidRPr="0017129E" w:rsidRDefault="0017129E" w:rsidP="0017129E">
            <w:pPr>
              <w:pStyle w:val="Body"/>
              <w:jc w:val="both"/>
              <w:rPr>
                <w:rFonts w:ascii="Arial" w:eastAsia="Arial" w:hAnsi="Arial" w:cs="Arial"/>
              </w:rPr>
            </w:pPr>
            <w:r w:rsidRPr="0017129E">
              <w:rPr>
                <w:rFonts w:ascii="Arial" w:eastAsia="Arial" w:hAnsi="Arial" w:cs="Arial"/>
              </w:rPr>
              <w:t>Resource-restricted </w:t>
            </w:r>
          </w:p>
          <w:p w:rsidR="0017129E" w:rsidRPr="0017129E" w:rsidRDefault="0017129E" w:rsidP="0017129E">
            <w:pPr>
              <w:pStyle w:val="Body"/>
              <w:jc w:val="both"/>
              <w:rPr>
                <w:rFonts w:ascii="Arial" w:eastAsia="Arial" w:hAnsi="Arial" w:cs="Arial"/>
              </w:rPr>
            </w:pPr>
            <w:r w:rsidRPr="0017129E">
              <w:rPr>
                <w:rFonts w:ascii="Arial" w:eastAsia="Arial" w:hAnsi="Arial" w:cs="Arial"/>
              </w:rPr>
              <w:t>Resource poor</w:t>
            </w:r>
          </w:p>
          <w:p w:rsidR="0017129E" w:rsidRPr="0017129E" w:rsidRDefault="0017129E" w:rsidP="0017129E">
            <w:pPr>
              <w:pStyle w:val="Body"/>
              <w:jc w:val="both"/>
              <w:rPr>
                <w:rFonts w:ascii="Arial" w:eastAsia="Arial" w:hAnsi="Arial" w:cs="Arial"/>
              </w:rPr>
            </w:pPr>
            <w:r w:rsidRPr="0017129E">
              <w:rPr>
                <w:rFonts w:ascii="Arial" w:eastAsia="Arial" w:hAnsi="Arial" w:cs="Arial"/>
              </w:rPr>
              <w:t>LMIC</w:t>
            </w:r>
          </w:p>
          <w:p w:rsidR="0017129E" w:rsidRPr="0017129E" w:rsidRDefault="0017129E" w:rsidP="0017129E">
            <w:pPr>
              <w:pStyle w:val="Body"/>
              <w:jc w:val="both"/>
              <w:rPr>
                <w:rFonts w:ascii="Arial" w:eastAsia="Arial" w:hAnsi="Arial" w:cs="Arial"/>
              </w:rPr>
            </w:pPr>
            <w:r w:rsidRPr="0017129E">
              <w:rPr>
                <w:rFonts w:ascii="Arial" w:eastAsia="Arial" w:hAnsi="Arial" w:cs="Arial"/>
              </w:rPr>
              <w:t>Low-income, middle-income</w:t>
            </w:r>
          </w:p>
          <w:p w:rsidR="0017129E" w:rsidRPr="0017129E" w:rsidRDefault="0017129E" w:rsidP="0017129E">
            <w:pPr>
              <w:pStyle w:val="Body"/>
              <w:jc w:val="both"/>
              <w:rPr>
                <w:rFonts w:ascii="Arial" w:eastAsia="Arial" w:hAnsi="Arial" w:cs="Arial"/>
              </w:rPr>
            </w:pPr>
            <w:r w:rsidRPr="0017129E">
              <w:rPr>
                <w:rFonts w:ascii="Arial" w:eastAsia="Arial" w:hAnsi="Arial" w:cs="Arial"/>
              </w:rPr>
              <w:t>Sepsis</w:t>
            </w:r>
          </w:p>
          <w:p w:rsidR="0017129E" w:rsidRPr="0017129E" w:rsidRDefault="0017129E" w:rsidP="0017129E">
            <w:pPr>
              <w:pStyle w:val="Body"/>
              <w:jc w:val="both"/>
              <w:rPr>
                <w:rFonts w:ascii="Arial" w:eastAsia="Arial" w:hAnsi="Arial" w:cs="Arial"/>
              </w:rPr>
            </w:pPr>
            <w:r w:rsidRPr="0017129E">
              <w:rPr>
                <w:rFonts w:ascii="Arial" w:eastAsia="Arial" w:hAnsi="Arial" w:cs="Arial"/>
              </w:rPr>
              <w:t>Natural hazards</w:t>
            </w:r>
          </w:p>
          <w:p w:rsidR="0017129E" w:rsidRPr="0017129E" w:rsidRDefault="0017129E" w:rsidP="0017129E">
            <w:pPr>
              <w:pStyle w:val="Body"/>
              <w:jc w:val="both"/>
              <w:rPr>
                <w:rFonts w:ascii="Arial" w:eastAsia="Arial" w:hAnsi="Arial" w:cs="Arial"/>
              </w:rPr>
            </w:pPr>
          </w:p>
          <w:p w:rsidR="0017129E" w:rsidRPr="0017129E" w:rsidRDefault="0017129E" w:rsidP="0017129E">
            <w:pPr>
              <w:pStyle w:val="Body"/>
              <w:jc w:val="both"/>
              <w:rPr>
                <w:rFonts w:ascii="Arial" w:eastAsia="Arial" w:hAnsi="Arial" w:cs="Arial"/>
              </w:rPr>
            </w:pPr>
            <w:r w:rsidRPr="0017129E">
              <w:rPr>
                <w:rFonts w:ascii="Arial" w:eastAsia="Arial" w:hAnsi="Arial" w:cs="Arial"/>
              </w:rPr>
              <w:t>Education, training, skills mix</w:t>
            </w:r>
          </w:p>
          <w:p w:rsidR="0017129E" w:rsidRPr="0017129E" w:rsidRDefault="0017129E" w:rsidP="0017129E">
            <w:pPr>
              <w:pStyle w:val="Body"/>
              <w:jc w:val="both"/>
              <w:rPr>
                <w:rFonts w:ascii="Arial" w:eastAsia="Arial" w:hAnsi="Arial" w:cs="Arial"/>
              </w:rPr>
            </w:pPr>
            <w:r w:rsidRPr="0017129E">
              <w:rPr>
                <w:rFonts w:ascii="Arial" w:eastAsia="Arial" w:hAnsi="Arial" w:cs="Arial"/>
              </w:rPr>
              <w:t>Migration, mobility, distribution</w:t>
            </w:r>
          </w:p>
          <w:p w:rsidR="0017129E" w:rsidRPr="0017129E" w:rsidRDefault="0017129E" w:rsidP="0017129E">
            <w:pPr>
              <w:pStyle w:val="Body"/>
              <w:jc w:val="both"/>
              <w:rPr>
                <w:rFonts w:ascii="Arial" w:eastAsia="Arial" w:hAnsi="Arial" w:cs="Arial"/>
              </w:rPr>
            </w:pPr>
            <w:r w:rsidRPr="0017129E">
              <w:rPr>
                <w:rFonts w:ascii="Arial" w:eastAsia="Arial" w:hAnsi="Arial" w:cs="Arial"/>
              </w:rPr>
              <w:t>Accessibility</w:t>
            </w:r>
          </w:p>
          <w:p w:rsidR="0017129E" w:rsidRPr="0017129E" w:rsidRDefault="0017129E" w:rsidP="0017129E">
            <w:pPr>
              <w:pStyle w:val="Body"/>
              <w:jc w:val="both"/>
              <w:rPr>
                <w:rFonts w:ascii="Arial" w:eastAsia="Arial" w:hAnsi="Arial" w:cs="Arial"/>
              </w:rPr>
            </w:pPr>
            <w:r w:rsidRPr="0017129E">
              <w:rPr>
                <w:rFonts w:ascii="Arial" w:eastAsia="Arial" w:hAnsi="Arial" w:cs="Arial"/>
              </w:rPr>
              <w:t>Competence, efficacy, performance, motivation, retention</w:t>
            </w:r>
          </w:p>
          <w:p w:rsidR="0017129E" w:rsidRPr="0017129E" w:rsidRDefault="0017129E" w:rsidP="0017129E">
            <w:pPr>
              <w:pStyle w:val="Body"/>
              <w:jc w:val="both"/>
              <w:rPr>
                <w:rFonts w:ascii="Arial" w:eastAsia="Arial" w:hAnsi="Arial" w:cs="Arial"/>
              </w:rPr>
            </w:pPr>
            <w:r w:rsidRPr="0017129E">
              <w:rPr>
                <w:rFonts w:ascii="Arial" w:eastAsia="Arial" w:hAnsi="Arial" w:cs="Arial"/>
              </w:rPr>
              <w:t>Healthcare policy</w:t>
            </w:r>
          </w:p>
          <w:p w:rsidR="0017129E" w:rsidRPr="0017129E" w:rsidRDefault="0017129E" w:rsidP="0017129E">
            <w:pPr>
              <w:pStyle w:val="Body"/>
              <w:jc w:val="both"/>
              <w:rPr>
                <w:rFonts w:ascii="Arial" w:eastAsia="Arial" w:hAnsi="Arial" w:cs="Arial"/>
              </w:rPr>
            </w:pPr>
            <w:r w:rsidRPr="0017129E">
              <w:rPr>
                <w:rFonts w:ascii="Arial" w:eastAsia="Arial" w:hAnsi="Arial" w:cs="Arial"/>
              </w:rPr>
              <w:t>Healthcare planning</w:t>
            </w:r>
          </w:p>
        </w:tc>
      </w:tr>
    </w:tbl>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Potter &amp; Brough's framework was selected and adapted to include elements related to the acute care setting (</w:t>
      </w:r>
      <w:r w:rsidR="00775106">
        <w:rPr>
          <w:rFonts w:ascii="Arial" w:hAnsi="Arial"/>
          <w:sz w:val="24"/>
          <w:szCs w:val="24"/>
          <w:lang w:val="en-US"/>
        </w:rPr>
        <w:t>Table 2</w:t>
      </w:r>
      <w:r>
        <w:rPr>
          <w:rFonts w:ascii="Arial" w:hAnsi="Arial"/>
          <w:sz w:val="24"/>
          <w:szCs w:val="24"/>
          <w:lang w:val="en-US"/>
        </w:rPr>
        <w:t>)</w:t>
      </w:r>
      <w:r>
        <w:rPr>
          <w:rFonts w:ascii="Arial" w:hAnsi="Arial"/>
          <w:sz w:val="24"/>
          <w:szCs w:val="24"/>
        </w:rPr>
        <w:t>.</w:t>
      </w:r>
      <w:r>
        <w:rPr>
          <w:rFonts w:ascii="Arial" w:hAnsi="Arial"/>
          <w:sz w:val="24"/>
          <w:szCs w:val="24"/>
          <w:lang w:val="en-US"/>
        </w:rPr>
        <w:t xml:space="preserve"> Each article was reviewed in full by the author to code which were mentioned. This did not involve judgment of form, whether qualitative or quantitative, nor the quality of the evidence.  Whilst the elements’ precise wordings did not have to be present, their</w:t>
      </w:r>
      <w:r w:rsidRPr="006501ED">
        <w:rPr>
          <w:rFonts w:ascii="Arial" w:hAnsi="Arial"/>
          <w:sz w:val="24"/>
          <w:szCs w:val="24"/>
        </w:rPr>
        <w:t xml:space="preserve"> concept</w:t>
      </w:r>
      <w:r>
        <w:rPr>
          <w:rFonts w:ascii="Arial" w:hAnsi="Arial"/>
          <w:sz w:val="24"/>
          <w:szCs w:val="24"/>
          <w:lang w:val="en-US"/>
        </w:rPr>
        <w:t>s had to be unambiguously referred to within the article’s</w:t>
      </w:r>
      <w:r w:rsidRPr="006501ED">
        <w:rPr>
          <w:rFonts w:ascii="Arial" w:hAnsi="Arial"/>
          <w:sz w:val="24"/>
          <w:szCs w:val="24"/>
        </w:rPr>
        <w:t xml:space="preserve"> main </w:t>
      </w:r>
      <w:r>
        <w:rPr>
          <w:rFonts w:ascii="Arial" w:hAnsi="Arial"/>
          <w:sz w:val="24"/>
          <w:szCs w:val="24"/>
          <w:lang w:val="en-US"/>
        </w:rPr>
        <w:t>body</w:t>
      </w:r>
      <w:r>
        <w:rPr>
          <w:rFonts w:ascii="Arial" w:hAnsi="Arial"/>
          <w:sz w:val="24"/>
          <w:szCs w:val="24"/>
        </w:rPr>
        <w:t>.</w:t>
      </w:r>
      <w:r>
        <w:rPr>
          <w:rFonts w:ascii="Arial" w:hAnsi="Arial"/>
          <w:sz w:val="24"/>
          <w:szCs w:val="24"/>
          <w:lang w:val="en-US"/>
        </w:rPr>
        <w:t xml:space="preserve"> The second part entailed a qualitative analysis of themes generated and structured by the framework.  </w:t>
      </w:r>
    </w:p>
    <w:p w:rsidR="00CF084F" w:rsidRDefault="00CF084F" w:rsidP="00DA7D43">
      <w:pPr>
        <w:pStyle w:val="Body"/>
        <w:spacing w:line="480" w:lineRule="auto"/>
        <w:jc w:val="both"/>
        <w:rPr>
          <w:rFonts w:ascii="Arial" w:eastAsia="Arial" w:hAnsi="Arial" w:cs="Arial"/>
          <w:sz w:val="24"/>
          <w:szCs w:val="24"/>
        </w:rPr>
      </w:pPr>
    </w:p>
    <w:p w:rsidR="0017129E" w:rsidRDefault="0017129E" w:rsidP="00DA7D43">
      <w:pPr>
        <w:pStyle w:val="Body"/>
        <w:spacing w:line="480" w:lineRule="auto"/>
        <w:jc w:val="both"/>
        <w:rPr>
          <w:rFonts w:ascii="Arial" w:eastAsia="Arial" w:hAnsi="Arial" w:cs="Arial"/>
          <w:sz w:val="24"/>
          <w:szCs w:val="24"/>
        </w:rPr>
      </w:pPr>
    </w:p>
    <w:p w:rsidR="00817A89" w:rsidRDefault="00817A89" w:rsidP="00DA7D43">
      <w:pPr>
        <w:pStyle w:val="Body"/>
        <w:spacing w:line="480" w:lineRule="auto"/>
        <w:jc w:val="both"/>
        <w:rPr>
          <w:rFonts w:ascii="Arial" w:eastAsia="Arial" w:hAnsi="Arial" w:cs="Arial"/>
          <w:sz w:val="24"/>
          <w:szCs w:val="24"/>
        </w:rPr>
      </w:pPr>
    </w:p>
    <w:p w:rsidR="009C1879" w:rsidRPr="009C1879" w:rsidRDefault="009C1879" w:rsidP="009C1879">
      <w:pPr>
        <w:pStyle w:val="Caption"/>
        <w:keepNext/>
        <w:jc w:val="center"/>
        <w:rPr>
          <w:rFonts w:ascii="Arial" w:hAnsi="Arial" w:cs="Arial"/>
          <w:sz w:val="24"/>
          <w:szCs w:val="24"/>
        </w:rPr>
      </w:pPr>
      <w:r w:rsidRPr="009C1879">
        <w:rPr>
          <w:rFonts w:ascii="Arial" w:hAnsi="Arial" w:cs="Arial"/>
          <w:sz w:val="24"/>
          <w:szCs w:val="24"/>
        </w:rPr>
        <w:lastRenderedPageBreak/>
        <w:t xml:space="preserve">Table </w:t>
      </w:r>
      <w:r w:rsidRPr="009C1879">
        <w:rPr>
          <w:rFonts w:ascii="Arial" w:hAnsi="Arial" w:cs="Arial"/>
          <w:sz w:val="24"/>
          <w:szCs w:val="24"/>
        </w:rPr>
        <w:fldChar w:fldCharType="begin"/>
      </w:r>
      <w:r w:rsidRPr="009C1879">
        <w:rPr>
          <w:rFonts w:ascii="Arial" w:hAnsi="Arial" w:cs="Arial"/>
          <w:sz w:val="24"/>
          <w:szCs w:val="24"/>
        </w:rPr>
        <w:instrText xml:space="preserve"> SEQ Table \* ARABIC </w:instrText>
      </w:r>
      <w:r w:rsidRPr="009C1879">
        <w:rPr>
          <w:rFonts w:ascii="Arial" w:hAnsi="Arial" w:cs="Arial"/>
          <w:sz w:val="24"/>
          <w:szCs w:val="24"/>
        </w:rPr>
        <w:fldChar w:fldCharType="separate"/>
      </w:r>
      <w:r w:rsidRPr="009C1879">
        <w:rPr>
          <w:rFonts w:ascii="Arial" w:hAnsi="Arial" w:cs="Arial"/>
          <w:noProof/>
          <w:sz w:val="24"/>
          <w:szCs w:val="24"/>
        </w:rPr>
        <w:t>2</w:t>
      </w:r>
      <w:r w:rsidRPr="009C1879">
        <w:rPr>
          <w:rFonts w:ascii="Arial" w:hAnsi="Arial" w:cs="Arial"/>
          <w:sz w:val="24"/>
          <w:szCs w:val="24"/>
        </w:rPr>
        <w:fldChar w:fldCharType="end"/>
      </w:r>
      <w:r w:rsidRPr="009C1879">
        <w:rPr>
          <w:rFonts w:ascii="Arial" w:hAnsi="Arial" w:cs="Arial"/>
          <w:sz w:val="24"/>
          <w:szCs w:val="24"/>
        </w:rPr>
        <w:t>: Adapted framework for capacity building. Based on Potter &amp; Brough (2004).</w:t>
      </w:r>
    </w:p>
    <w:tbl>
      <w:tblPr>
        <w:tblW w:w="9204" w:type="dxa"/>
        <w:tblCellMar>
          <w:left w:w="0" w:type="dxa"/>
          <w:right w:w="0" w:type="dxa"/>
        </w:tblCellMar>
        <w:tblLook w:val="0600" w:firstRow="0" w:lastRow="0" w:firstColumn="0" w:lastColumn="0" w:noHBand="1" w:noVBand="1"/>
      </w:tblPr>
      <w:tblGrid>
        <w:gridCol w:w="1440"/>
        <w:gridCol w:w="7764"/>
      </w:tblGrid>
      <w:tr w:rsidR="0017129E" w:rsidRPr="0017129E" w:rsidTr="0017129E">
        <w:trPr>
          <w:trHeight w:val="546"/>
        </w:trPr>
        <w:tc>
          <w:tcPr>
            <w:tcW w:w="1440" w:type="dxa"/>
            <w:tcBorders>
              <w:top w:val="single" w:sz="6" w:space="0" w:color="000000"/>
              <w:left w:val="single" w:sz="8" w:space="0" w:color="000000"/>
              <w:bottom w:val="single" w:sz="6" w:space="0" w:color="000000"/>
              <w:right w:val="single" w:sz="8" w:space="0" w:color="000000"/>
            </w:tcBorders>
            <w:shd w:val="clear" w:color="auto" w:fill="auto"/>
            <w:tcMar>
              <w:top w:w="17" w:type="dxa"/>
              <w:left w:w="17" w:type="dxa"/>
              <w:bottom w:w="17" w:type="dxa"/>
              <w:right w:w="17" w:type="dxa"/>
            </w:tcMar>
            <w:hideMark/>
          </w:tcPr>
          <w:p w:rsidR="0017129E" w:rsidRPr="0017129E" w:rsidRDefault="0017129E" w:rsidP="0017129E">
            <w:pPr>
              <w:pStyle w:val="Body"/>
              <w:rPr>
                <w:rFonts w:ascii="Arial" w:eastAsia="Arial" w:hAnsi="Arial" w:cs="Arial"/>
              </w:rPr>
            </w:pPr>
            <w:r w:rsidRPr="0017129E">
              <w:rPr>
                <w:rFonts w:ascii="Arial" w:eastAsia="Arial" w:hAnsi="Arial" w:cs="Arial"/>
              </w:rPr>
              <w:t>Performance</w:t>
            </w:r>
          </w:p>
        </w:tc>
        <w:tc>
          <w:tcPr>
            <w:tcW w:w="7764" w:type="dxa"/>
            <w:tcBorders>
              <w:top w:val="single" w:sz="6" w:space="0" w:color="000000"/>
              <w:left w:val="single" w:sz="8" w:space="0" w:color="000000"/>
              <w:bottom w:val="single" w:sz="6" w:space="0" w:color="000000"/>
              <w:right w:val="single" w:sz="8" w:space="0" w:color="000000"/>
            </w:tcBorders>
            <w:shd w:val="clear" w:color="auto" w:fill="auto"/>
            <w:tcMar>
              <w:top w:w="17" w:type="dxa"/>
              <w:left w:w="17" w:type="dxa"/>
              <w:bottom w:w="17" w:type="dxa"/>
              <w:right w:w="17" w:type="dxa"/>
            </w:tcMar>
            <w:hideMark/>
          </w:tcPr>
          <w:p w:rsidR="00FB4EEE" w:rsidRPr="0017129E" w:rsidRDefault="00781036" w:rsidP="0017129E">
            <w:pPr>
              <w:pStyle w:val="Body"/>
              <w:numPr>
                <w:ilvl w:val="1"/>
                <w:numId w:val="1"/>
              </w:numPr>
              <w:rPr>
                <w:rFonts w:ascii="Arial" w:eastAsia="Arial" w:hAnsi="Arial" w:cs="Arial"/>
              </w:rPr>
            </w:pPr>
            <w:r w:rsidRPr="0017129E">
              <w:rPr>
                <w:rFonts w:ascii="Arial" w:eastAsia="Arial" w:hAnsi="Arial" w:cs="Arial"/>
              </w:rPr>
              <w:t xml:space="preserve">Mentions availability of </w:t>
            </w:r>
            <w:r w:rsidRPr="0017129E">
              <w:rPr>
                <w:rFonts w:ascii="Arial" w:eastAsia="Arial" w:hAnsi="Arial" w:cs="Arial"/>
                <w:b/>
                <w:bCs/>
              </w:rPr>
              <w:t>consumables</w:t>
            </w:r>
            <w:r w:rsidRPr="0017129E">
              <w:rPr>
                <w:rFonts w:ascii="Arial" w:eastAsia="Arial" w:hAnsi="Arial" w:cs="Arial"/>
              </w:rPr>
              <w:t xml:space="preserve">, </w:t>
            </w:r>
            <w:r w:rsidRPr="0017129E">
              <w:rPr>
                <w:rFonts w:ascii="Arial" w:eastAsia="Arial" w:hAnsi="Arial" w:cs="Arial"/>
                <w:b/>
                <w:bCs/>
              </w:rPr>
              <w:t>diagnostics</w:t>
            </w:r>
            <w:r w:rsidRPr="0017129E">
              <w:rPr>
                <w:rFonts w:ascii="Arial" w:eastAsia="Arial" w:hAnsi="Arial" w:cs="Arial"/>
              </w:rPr>
              <w:t xml:space="preserve">, or </w:t>
            </w:r>
            <w:r w:rsidRPr="0017129E">
              <w:rPr>
                <w:rFonts w:ascii="Arial" w:eastAsia="Arial" w:hAnsi="Arial" w:cs="Arial"/>
                <w:b/>
                <w:bCs/>
              </w:rPr>
              <w:t>therapeutics</w:t>
            </w:r>
            <w:r w:rsidRPr="0017129E">
              <w:rPr>
                <w:rFonts w:ascii="Arial" w:eastAsia="Arial" w:hAnsi="Arial" w:cs="Arial"/>
              </w:rPr>
              <w:t xml:space="preserve"> with regards to acute care delivery</w:t>
            </w:r>
          </w:p>
        </w:tc>
      </w:tr>
      <w:tr w:rsidR="0017129E" w:rsidRPr="0017129E" w:rsidTr="0017129E">
        <w:trPr>
          <w:trHeight w:val="720"/>
        </w:trPr>
        <w:tc>
          <w:tcPr>
            <w:tcW w:w="1440" w:type="dxa"/>
            <w:tcBorders>
              <w:top w:val="single" w:sz="6" w:space="0" w:color="000000"/>
              <w:left w:val="single" w:sz="8" w:space="0" w:color="000000"/>
              <w:bottom w:val="single" w:sz="6" w:space="0" w:color="000000"/>
              <w:right w:val="single" w:sz="8" w:space="0" w:color="000000"/>
            </w:tcBorders>
            <w:shd w:val="clear" w:color="auto" w:fill="auto"/>
            <w:tcMar>
              <w:top w:w="17" w:type="dxa"/>
              <w:left w:w="17" w:type="dxa"/>
              <w:bottom w:w="17" w:type="dxa"/>
              <w:right w:w="17" w:type="dxa"/>
            </w:tcMar>
            <w:hideMark/>
          </w:tcPr>
          <w:p w:rsidR="0017129E" w:rsidRPr="0017129E" w:rsidRDefault="0017129E" w:rsidP="0017129E">
            <w:pPr>
              <w:pStyle w:val="Body"/>
              <w:rPr>
                <w:rFonts w:ascii="Arial" w:eastAsia="Arial" w:hAnsi="Arial" w:cs="Arial"/>
              </w:rPr>
            </w:pPr>
            <w:r w:rsidRPr="0017129E">
              <w:rPr>
                <w:rFonts w:ascii="Arial" w:eastAsia="Arial" w:hAnsi="Arial" w:cs="Arial"/>
              </w:rPr>
              <w:t>Personal</w:t>
            </w:r>
          </w:p>
        </w:tc>
        <w:tc>
          <w:tcPr>
            <w:tcW w:w="7764" w:type="dxa"/>
            <w:tcBorders>
              <w:top w:val="single" w:sz="6" w:space="0" w:color="000000"/>
              <w:left w:val="single" w:sz="8" w:space="0" w:color="000000"/>
              <w:bottom w:val="single" w:sz="6" w:space="0" w:color="000000"/>
              <w:right w:val="single" w:sz="8" w:space="0" w:color="000000"/>
            </w:tcBorders>
            <w:shd w:val="clear" w:color="auto" w:fill="auto"/>
            <w:tcMar>
              <w:top w:w="17" w:type="dxa"/>
              <w:left w:w="17" w:type="dxa"/>
              <w:bottom w:w="17" w:type="dxa"/>
              <w:right w:w="17" w:type="dxa"/>
            </w:tcMar>
            <w:hideMark/>
          </w:tcPr>
          <w:p w:rsidR="00FB4EEE" w:rsidRPr="0017129E" w:rsidRDefault="00781036" w:rsidP="0017129E">
            <w:pPr>
              <w:pStyle w:val="Body"/>
              <w:numPr>
                <w:ilvl w:val="1"/>
                <w:numId w:val="2"/>
              </w:numPr>
              <w:rPr>
                <w:rFonts w:ascii="Arial" w:eastAsia="Arial" w:hAnsi="Arial" w:cs="Arial"/>
              </w:rPr>
            </w:pPr>
            <w:r w:rsidRPr="0017129E">
              <w:rPr>
                <w:rFonts w:ascii="Arial" w:eastAsia="Arial" w:hAnsi="Arial" w:cs="Arial"/>
              </w:rPr>
              <w:t xml:space="preserve">Mentions </w:t>
            </w:r>
            <w:r w:rsidRPr="0017129E">
              <w:rPr>
                <w:rFonts w:ascii="Arial" w:eastAsia="Arial" w:hAnsi="Arial" w:cs="Arial"/>
                <w:b/>
                <w:bCs/>
              </w:rPr>
              <w:t>education</w:t>
            </w:r>
            <w:r w:rsidRPr="0017129E">
              <w:rPr>
                <w:rFonts w:ascii="Arial" w:eastAsia="Arial" w:hAnsi="Arial" w:cs="Arial"/>
              </w:rPr>
              <w:t xml:space="preserve">, </w:t>
            </w:r>
            <w:r w:rsidRPr="0017129E">
              <w:rPr>
                <w:rFonts w:ascii="Arial" w:eastAsia="Arial" w:hAnsi="Arial" w:cs="Arial"/>
                <w:b/>
                <w:bCs/>
              </w:rPr>
              <w:t>training</w:t>
            </w:r>
            <w:r w:rsidRPr="0017129E">
              <w:rPr>
                <w:rFonts w:ascii="Arial" w:eastAsia="Arial" w:hAnsi="Arial" w:cs="Arial"/>
              </w:rPr>
              <w:t xml:space="preserve"> and </w:t>
            </w:r>
            <w:r w:rsidRPr="0017129E">
              <w:rPr>
                <w:rFonts w:ascii="Arial" w:eastAsia="Arial" w:hAnsi="Arial" w:cs="Arial"/>
                <w:b/>
                <w:bCs/>
              </w:rPr>
              <w:t>skill-mix</w:t>
            </w:r>
            <w:r w:rsidRPr="0017129E">
              <w:rPr>
                <w:rFonts w:ascii="Arial" w:eastAsia="Arial" w:hAnsi="Arial" w:cs="Arial"/>
              </w:rPr>
              <w:t xml:space="preserve"> with regards to acute medicine</w:t>
            </w:r>
          </w:p>
          <w:p w:rsidR="00FB4EEE" w:rsidRPr="0017129E" w:rsidRDefault="00781036" w:rsidP="0017129E">
            <w:pPr>
              <w:pStyle w:val="Body"/>
              <w:numPr>
                <w:ilvl w:val="1"/>
                <w:numId w:val="2"/>
              </w:numPr>
              <w:rPr>
                <w:rFonts w:ascii="Arial" w:eastAsia="Arial" w:hAnsi="Arial" w:cs="Arial"/>
              </w:rPr>
            </w:pPr>
            <w:r w:rsidRPr="0017129E">
              <w:rPr>
                <w:rFonts w:ascii="Arial" w:eastAsia="Arial" w:hAnsi="Arial" w:cs="Arial"/>
              </w:rPr>
              <w:t xml:space="preserve">Mentions </w:t>
            </w:r>
            <w:r w:rsidRPr="0017129E">
              <w:rPr>
                <w:rFonts w:ascii="Arial" w:eastAsia="Arial" w:hAnsi="Arial" w:cs="Arial"/>
                <w:b/>
                <w:bCs/>
              </w:rPr>
              <w:t>paraprofessional</w:t>
            </w:r>
            <w:r w:rsidRPr="0017129E">
              <w:rPr>
                <w:rFonts w:ascii="Arial" w:eastAsia="Arial" w:hAnsi="Arial" w:cs="Arial"/>
              </w:rPr>
              <w:t xml:space="preserve"> </w:t>
            </w:r>
            <w:r w:rsidRPr="0017129E">
              <w:rPr>
                <w:rFonts w:ascii="Arial" w:eastAsia="Arial" w:hAnsi="Arial" w:cs="Arial"/>
                <w:b/>
                <w:bCs/>
              </w:rPr>
              <w:t>training</w:t>
            </w:r>
          </w:p>
          <w:p w:rsidR="00FB4EEE" w:rsidRPr="0017129E" w:rsidRDefault="00781036" w:rsidP="0017129E">
            <w:pPr>
              <w:pStyle w:val="Body"/>
              <w:numPr>
                <w:ilvl w:val="1"/>
                <w:numId w:val="2"/>
              </w:numPr>
              <w:rPr>
                <w:rFonts w:ascii="Arial" w:eastAsia="Arial" w:hAnsi="Arial" w:cs="Arial"/>
              </w:rPr>
            </w:pPr>
            <w:r w:rsidRPr="0017129E">
              <w:rPr>
                <w:rFonts w:ascii="Arial" w:eastAsia="Arial" w:hAnsi="Arial" w:cs="Arial"/>
              </w:rPr>
              <w:t xml:space="preserve">Mentions </w:t>
            </w:r>
            <w:r w:rsidRPr="0017129E">
              <w:rPr>
                <w:rFonts w:ascii="Arial" w:eastAsia="Arial" w:hAnsi="Arial" w:cs="Arial"/>
                <w:b/>
                <w:bCs/>
              </w:rPr>
              <w:t>salary</w:t>
            </w:r>
            <w:r w:rsidRPr="0017129E">
              <w:rPr>
                <w:rFonts w:ascii="Arial" w:eastAsia="Arial" w:hAnsi="Arial" w:cs="Arial"/>
              </w:rPr>
              <w:t xml:space="preserve">, </w:t>
            </w:r>
            <w:r w:rsidRPr="0017129E">
              <w:rPr>
                <w:rFonts w:ascii="Arial" w:eastAsia="Arial" w:hAnsi="Arial" w:cs="Arial"/>
                <w:b/>
                <w:bCs/>
              </w:rPr>
              <w:t>competence</w:t>
            </w:r>
            <w:r w:rsidRPr="0017129E">
              <w:rPr>
                <w:rFonts w:ascii="Arial" w:eastAsia="Arial" w:hAnsi="Arial" w:cs="Arial"/>
              </w:rPr>
              <w:t xml:space="preserve"> or </w:t>
            </w:r>
            <w:r w:rsidRPr="0017129E">
              <w:rPr>
                <w:rFonts w:ascii="Arial" w:eastAsia="Arial" w:hAnsi="Arial" w:cs="Arial"/>
                <w:b/>
                <w:bCs/>
              </w:rPr>
              <w:t>motivation</w:t>
            </w:r>
          </w:p>
        </w:tc>
      </w:tr>
      <w:tr w:rsidR="0017129E" w:rsidRPr="0017129E" w:rsidTr="0017129E">
        <w:trPr>
          <w:trHeight w:val="894"/>
        </w:trPr>
        <w:tc>
          <w:tcPr>
            <w:tcW w:w="1440" w:type="dxa"/>
            <w:tcBorders>
              <w:top w:val="single" w:sz="6" w:space="0" w:color="000000"/>
              <w:left w:val="single" w:sz="8" w:space="0" w:color="000000"/>
              <w:bottom w:val="single" w:sz="6" w:space="0" w:color="000000"/>
              <w:right w:val="single" w:sz="8" w:space="0" w:color="000000"/>
            </w:tcBorders>
            <w:shd w:val="clear" w:color="auto" w:fill="auto"/>
            <w:tcMar>
              <w:top w:w="17" w:type="dxa"/>
              <w:left w:w="17" w:type="dxa"/>
              <w:bottom w:w="17" w:type="dxa"/>
              <w:right w:w="17" w:type="dxa"/>
            </w:tcMar>
            <w:hideMark/>
          </w:tcPr>
          <w:p w:rsidR="0017129E" w:rsidRPr="0017129E" w:rsidRDefault="0017129E" w:rsidP="0017129E">
            <w:pPr>
              <w:pStyle w:val="Body"/>
              <w:rPr>
                <w:rFonts w:ascii="Arial" w:eastAsia="Arial" w:hAnsi="Arial" w:cs="Arial"/>
              </w:rPr>
            </w:pPr>
            <w:r w:rsidRPr="0017129E">
              <w:rPr>
                <w:rFonts w:ascii="Arial" w:eastAsia="Arial" w:hAnsi="Arial" w:cs="Arial"/>
              </w:rPr>
              <w:t>Workload</w:t>
            </w:r>
          </w:p>
        </w:tc>
        <w:tc>
          <w:tcPr>
            <w:tcW w:w="7764" w:type="dxa"/>
            <w:tcBorders>
              <w:top w:val="single" w:sz="6" w:space="0" w:color="000000"/>
              <w:left w:val="single" w:sz="8" w:space="0" w:color="000000"/>
              <w:bottom w:val="single" w:sz="6" w:space="0" w:color="000000"/>
              <w:right w:val="single" w:sz="8" w:space="0" w:color="000000"/>
            </w:tcBorders>
            <w:shd w:val="clear" w:color="auto" w:fill="auto"/>
            <w:tcMar>
              <w:top w:w="17" w:type="dxa"/>
              <w:left w:w="17" w:type="dxa"/>
              <w:bottom w:w="17" w:type="dxa"/>
              <w:right w:w="17" w:type="dxa"/>
            </w:tcMar>
            <w:hideMark/>
          </w:tcPr>
          <w:p w:rsidR="00FB4EEE" w:rsidRPr="0017129E" w:rsidRDefault="00781036" w:rsidP="0017129E">
            <w:pPr>
              <w:pStyle w:val="Body"/>
              <w:numPr>
                <w:ilvl w:val="1"/>
                <w:numId w:val="3"/>
              </w:numPr>
              <w:rPr>
                <w:rFonts w:ascii="Arial" w:eastAsia="Arial" w:hAnsi="Arial" w:cs="Arial"/>
              </w:rPr>
            </w:pPr>
            <w:r w:rsidRPr="0017129E">
              <w:rPr>
                <w:rFonts w:ascii="Arial" w:eastAsia="Arial" w:hAnsi="Arial" w:cs="Arial"/>
              </w:rPr>
              <w:t xml:space="preserve">Mentions precise </w:t>
            </w:r>
            <w:r w:rsidRPr="0017129E">
              <w:rPr>
                <w:rFonts w:ascii="Arial" w:eastAsia="Arial" w:hAnsi="Arial" w:cs="Arial"/>
                <w:b/>
                <w:bCs/>
              </w:rPr>
              <w:t>numbers of acute care personnel</w:t>
            </w:r>
          </w:p>
          <w:p w:rsidR="00FB4EEE" w:rsidRPr="0017129E" w:rsidRDefault="00781036" w:rsidP="0017129E">
            <w:pPr>
              <w:pStyle w:val="Body"/>
              <w:numPr>
                <w:ilvl w:val="1"/>
                <w:numId w:val="3"/>
              </w:numPr>
              <w:rPr>
                <w:rFonts w:ascii="Arial" w:eastAsia="Arial" w:hAnsi="Arial" w:cs="Arial"/>
              </w:rPr>
            </w:pPr>
            <w:r w:rsidRPr="0017129E">
              <w:rPr>
                <w:rFonts w:ascii="Arial" w:eastAsia="Arial" w:hAnsi="Arial" w:cs="Arial"/>
              </w:rPr>
              <w:t xml:space="preserve">Mentions </w:t>
            </w:r>
            <w:r w:rsidRPr="0017129E">
              <w:rPr>
                <w:rFonts w:ascii="Arial" w:eastAsia="Arial" w:hAnsi="Arial" w:cs="Arial"/>
                <w:b/>
                <w:bCs/>
              </w:rPr>
              <w:t>patient volume</w:t>
            </w:r>
            <w:r w:rsidRPr="0017129E">
              <w:rPr>
                <w:rFonts w:ascii="Arial" w:eastAsia="Arial" w:hAnsi="Arial" w:cs="Arial"/>
              </w:rPr>
              <w:t xml:space="preserve"> or </w:t>
            </w:r>
            <w:r w:rsidRPr="0017129E">
              <w:rPr>
                <w:rFonts w:ascii="Arial" w:eastAsia="Arial" w:hAnsi="Arial" w:cs="Arial"/>
                <w:b/>
                <w:bCs/>
              </w:rPr>
              <w:t>attendance</w:t>
            </w:r>
          </w:p>
          <w:p w:rsidR="00FB4EEE" w:rsidRPr="0017129E" w:rsidRDefault="00781036" w:rsidP="0017129E">
            <w:pPr>
              <w:pStyle w:val="Body"/>
              <w:numPr>
                <w:ilvl w:val="1"/>
                <w:numId w:val="3"/>
              </w:numPr>
              <w:rPr>
                <w:rFonts w:ascii="Arial" w:eastAsia="Arial" w:hAnsi="Arial" w:cs="Arial"/>
              </w:rPr>
            </w:pPr>
            <w:r w:rsidRPr="0017129E">
              <w:rPr>
                <w:rFonts w:ascii="Arial" w:eastAsia="Arial" w:hAnsi="Arial" w:cs="Arial"/>
              </w:rPr>
              <w:t xml:space="preserve">Mentions </w:t>
            </w:r>
            <w:r w:rsidRPr="0017129E">
              <w:rPr>
                <w:rFonts w:ascii="Arial" w:eastAsia="Arial" w:hAnsi="Arial" w:cs="Arial"/>
                <w:b/>
                <w:bCs/>
              </w:rPr>
              <w:t>distribution of personnel across shifts</w:t>
            </w:r>
          </w:p>
          <w:p w:rsidR="00FB4EEE" w:rsidRPr="0017129E" w:rsidRDefault="00781036" w:rsidP="0017129E">
            <w:pPr>
              <w:pStyle w:val="Body"/>
              <w:numPr>
                <w:ilvl w:val="1"/>
                <w:numId w:val="3"/>
              </w:numPr>
              <w:rPr>
                <w:rFonts w:ascii="Arial" w:eastAsia="Arial" w:hAnsi="Arial" w:cs="Arial"/>
              </w:rPr>
            </w:pPr>
            <w:r w:rsidRPr="0017129E">
              <w:rPr>
                <w:rFonts w:ascii="Arial" w:eastAsia="Arial" w:hAnsi="Arial" w:cs="Arial"/>
              </w:rPr>
              <w:t xml:space="preserve">Mentions </w:t>
            </w:r>
            <w:r w:rsidRPr="0017129E">
              <w:rPr>
                <w:rFonts w:ascii="Arial" w:eastAsia="Arial" w:hAnsi="Arial" w:cs="Arial"/>
                <w:b/>
                <w:bCs/>
              </w:rPr>
              <w:t>degree of personnel shortage</w:t>
            </w:r>
            <w:r w:rsidRPr="0017129E">
              <w:rPr>
                <w:rFonts w:ascii="Arial" w:eastAsia="Arial" w:hAnsi="Arial" w:cs="Arial"/>
              </w:rPr>
              <w:t xml:space="preserve"> (if present)</w:t>
            </w:r>
          </w:p>
        </w:tc>
      </w:tr>
      <w:tr w:rsidR="0017129E" w:rsidRPr="0017129E" w:rsidTr="0017129E">
        <w:trPr>
          <w:trHeight w:val="807"/>
        </w:trPr>
        <w:tc>
          <w:tcPr>
            <w:tcW w:w="1440" w:type="dxa"/>
            <w:tcBorders>
              <w:top w:val="single" w:sz="6" w:space="0" w:color="000000"/>
              <w:left w:val="single" w:sz="8" w:space="0" w:color="000000"/>
              <w:bottom w:val="single" w:sz="6" w:space="0" w:color="000000"/>
              <w:right w:val="single" w:sz="8" w:space="0" w:color="000000"/>
            </w:tcBorders>
            <w:shd w:val="clear" w:color="auto" w:fill="auto"/>
            <w:tcMar>
              <w:top w:w="17" w:type="dxa"/>
              <w:left w:w="17" w:type="dxa"/>
              <w:bottom w:w="17" w:type="dxa"/>
              <w:right w:w="17" w:type="dxa"/>
            </w:tcMar>
            <w:hideMark/>
          </w:tcPr>
          <w:p w:rsidR="0017129E" w:rsidRPr="0017129E" w:rsidRDefault="0017129E" w:rsidP="0017129E">
            <w:pPr>
              <w:pStyle w:val="Body"/>
              <w:rPr>
                <w:rFonts w:ascii="Arial" w:eastAsia="Arial" w:hAnsi="Arial" w:cs="Arial"/>
              </w:rPr>
            </w:pPr>
            <w:r w:rsidRPr="0017129E">
              <w:rPr>
                <w:rFonts w:ascii="Arial" w:eastAsia="Arial" w:hAnsi="Arial" w:cs="Arial"/>
              </w:rPr>
              <w:t>Supervisory</w:t>
            </w:r>
          </w:p>
        </w:tc>
        <w:tc>
          <w:tcPr>
            <w:tcW w:w="7764" w:type="dxa"/>
            <w:tcBorders>
              <w:top w:val="single" w:sz="6" w:space="0" w:color="000000"/>
              <w:left w:val="single" w:sz="8" w:space="0" w:color="000000"/>
              <w:bottom w:val="single" w:sz="6" w:space="0" w:color="000000"/>
              <w:right w:val="single" w:sz="8" w:space="0" w:color="000000"/>
            </w:tcBorders>
            <w:shd w:val="clear" w:color="auto" w:fill="auto"/>
            <w:tcMar>
              <w:top w:w="17" w:type="dxa"/>
              <w:left w:w="17" w:type="dxa"/>
              <w:bottom w:w="17" w:type="dxa"/>
              <w:right w:w="17" w:type="dxa"/>
            </w:tcMar>
            <w:hideMark/>
          </w:tcPr>
          <w:p w:rsidR="00FB4EEE" w:rsidRPr="0017129E" w:rsidRDefault="00781036" w:rsidP="0017129E">
            <w:pPr>
              <w:pStyle w:val="Body"/>
              <w:numPr>
                <w:ilvl w:val="1"/>
                <w:numId w:val="4"/>
              </w:numPr>
              <w:rPr>
                <w:rFonts w:ascii="Arial" w:eastAsia="Arial" w:hAnsi="Arial" w:cs="Arial"/>
              </w:rPr>
            </w:pPr>
            <w:r w:rsidRPr="0017129E">
              <w:rPr>
                <w:rFonts w:ascii="Arial" w:eastAsia="Arial" w:hAnsi="Arial" w:cs="Arial"/>
              </w:rPr>
              <w:t xml:space="preserve">Mentions </w:t>
            </w:r>
            <w:r w:rsidRPr="0017129E">
              <w:rPr>
                <w:rFonts w:ascii="Arial" w:eastAsia="Arial" w:hAnsi="Arial" w:cs="Arial"/>
                <w:b/>
                <w:bCs/>
              </w:rPr>
              <w:t>oversight</w:t>
            </w:r>
            <w:r w:rsidRPr="0017129E">
              <w:rPr>
                <w:rFonts w:ascii="Arial" w:eastAsia="Arial" w:hAnsi="Arial" w:cs="Arial"/>
              </w:rPr>
              <w:t xml:space="preserve"> and </w:t>
            </w:r>
            <w:r w:rsidRPr="0017129E">
              <w:rPr>
                <w:rFonts w:ascii="Arial" w:eastAsia="Arial" w:hAnsi="Arial" w:cs="Arial"/>
                <w:b/>
                <w:bCs/>
              </w:rPr>
              <w:t>senior decision-making</w:t>
            </w:r>
            <w:r w:rsidRPr="0017129E">
              <w:rPr>
                <w:rFonts w:ascii="Arial" w:eastAsia="Arial" w:hAnsi="Arial" w:cs="Arial"/>
              </w:rPr>
              <w:t xml:space="preserve"> regarding acute care delivery</w:t>
            </w:r>
          </w:p>
          <w:p w:rsidR="00FB4EEE" w:rsidRPr="0017129E" w:rsidRDefault="00781036" w:rsidP="0017129E">
            <w:pPr>
              <w:pStyle w:val="Body"/>
              <w:numPr>
                <w:ilvl w:val="1"/>
                <w:numId w:val="4"/>
              </w:numPr>
              <w:rPr>
                <w:rFonts w:ascii="Arial" w:eastAsia="Arial" w:hAnsi="Arial" w:cs="Arial"/>
              </w:rPr>
            </w:pPr>
            <w:r w:rsidRPr="0017129E">
              <w:rPr>
                <w:rFonts w:ascii="Arial" w:eastAsia="Arial" w:hAnsi="Arial" w:cs="Arial"/>
              </w:rPr>
              <w:t xml:space="preserve">Describes presence of </w:t>
            </w:r>
            <w:r w:rsidRPr="0017129E">
              <w:rPr>
                <w:rFonts w:ascii="Arial" w:eastAsia="Arial" w:hAnsi="Arial" w:cs="Arial"/>
                <w:b/>
                <w:bCs/>
              </w:rPr>
              <w:t>protocols</w:t>
            </w:r>
            <w:r w:rsidRPr="0017129E">
              <w:rPr>
                <w:rFonts w:ascii="Arial" w:eastAsia="Arial" w:hAnsi="Arial" w:cs="Arial"/>
              </w:rPr>
              <w:t xml:space="preserve">, </w:t>
            </w:r>
            <w:r w:rsidRPr="0017129E">
              <w:rPr>
                <w:rFonts w:ascii="Arial" w:eastAsia="Arial" w:hAnsi="Arial" w:cs="Arial"/>
                <w:b/>
                <w:bCs/>
              </w:rPr>
              <w:t>triaging systems</w:t>
            </w:r>
            <w:r w:rsidRPr="0017129E">
              <w:rPr>
                <w:rFonts w:ascii="Arial" w:eastAsia="Arial" w:hAnsi="Arial" w:cs="Arial"/>
              </w:rPr>
              <w:t xml:space="preserve">, or </w:t>
            </w:r>
            <w:r w:rsidRPr="0017129E">
              <w:rPr>
                <w:rFonts w:ascii="Arial" w:eastAsia="Arial" w:hAnsi="Arial" w:cs="Arial"/>
                <w:b/>
                <w:bCs/>
              </w:rPr>
              <w:t>clinical guidelines</w:t>
            </w:r>
          </w:p>
        </w:tc>
      </w:tr>
      <w:tr w:rsidR="0017129E" w:rsidRPr="0017129E" w:rsidTr="0017129E">
        <w:trPr>
          <w:trHeight w:val="688"/>
        </w:trPr>
        <w:tc>
          <w:tcPr>
            <w:tcW w:w="1440" w:type="dxa"/>
            <w:tcBorders>
              <w:top w:val="single" w:sz="6" w:space="0" w:color="000000"/>
              <w:left w:val="single" w:sz="8" w:space="0" w:color="000000"/>
              <w:bottom w:val="single" w:sz="6" w:space="0" w:color="000000"/>
              <w:right w:val="single" w:sz="8" w:space="0" w:color="000000"/>
            </w:tcBorders>
            <w:shd w:val="clear" w:color="auto" w:fill="auto"/>
            <w:tcMar>
              <w:top w:w="17" w:type="dxa"/>
              <w:left w:w="17" w:type="dxa"/>
              <w:bottom w:w="17" w:type="dxa"/>
              <w:right w:w="17" w:type="dxa"/>
            </w:tcMar>
            <w:hideMark/>
          </w:tcPr>
          <w:p w:rsidR="0017129E" w:rsidRPr="0017129E" w:rsidRDefault="0017129E" w:rsidP="0017129E">
            <w:pPr>
              <w:pStyle w:val="Body"/>
              <w:rPr>
                <w:rFonts w:ascii="Arial" w:eastAsia="Arial" w:hAnsi="Arial" w:cs="Arial"/>
              </w:rPr>
            </w:pPr>
            <w:r w:rsidRPr="0017129E">
              <w:rPr>
                <w:rFonts w:ascii="Arial" w:eastAsia="Arial" w:hAnsi="Arial" w:cs="Arial"/>
              </w:rPr>
              <w:t>Facility</w:t>
            </w:r>
          </w:p>
        </w:tc>
        <w:tc>
          <w:tcPr>
            <w:tcW w:w="7764" w:type="dxa"/>
            <w:tcBorders>
              <w:top w:val="single" w:sz="6" w:space="0" w:color="000000"/>
              <w:left w:val="single" w:sz="8" w:space="0" w:color="000000"/>
              <w:bottom w:val="single" w:sz="6" w:space="0" w:color="000000"/>
              <w:right w:val="single" w:sz="8" w:space="0" w:color="000000"/>
            </w:tcBorders>
            <w:shd w:val="clear" w:color="auto" w:fill="auto"/>
            <w:tcMar>
              <w:top w:w="17" w:type="dxa"/>
              <w:left w:w="17" w:type="dxa"/>
              <w:bottom w:w="17" w:type="dxa"/>
              <w:right w:w="17" w:type="dxa"/>
            </w:tcMar>
            <w:hideMark/>
          </w:tcPr>
          <w:p w:rsidR="00FB4EEE" w:rsidRPr="0017129E" w:rsidRDefault="00781036" w:rsidP="0017129E">
            <w:pPr>
              <w:pStyle w:val="Body"/>
              <w:numPr>
                <w:ilvl w:val="1"/>
                <w:numId w:val="5"/>
              </w:numPr>
              <w:rPr>
                <w:rFonts w:ascii="Arial" w:eastAsia="Arial" w:hAnsi="Arial" w:cs="Arial"/>
              </w:rPr>
            </w:pPr>
            <w:r w:rsidRPr="0017129E">
              <w:rPr>
                <w:rFonts w:ascii="Arial" w:eastAsia="Arial" w:hAnsi="Arial" w:cs="Arial"/>
              </w:rPr>
              <w:t xml:space="preserve">Mentions </w:t>
            </w:r>
            <w:r w:rsidRPr="0017129E">
              <w:rPr>
                <w:rFonts w:ascii="Arial" w:eastAsia="Arial" w:hAnsi="Arial" w:cs="Arial"/>
                <w:b/>
                <w:bCs/>
              </w:rPr>
              <w:t xml:space="preserve">presence </w:t>
            </w:r>
            <w:r w:rsidRPr="0017129E">
              <w:rPr>
                <w:rFonts w:ascii="Arial" w:eastAsia="Arial" w:hAnsi="Arial" w:cs="Arial"/>
              </w:rPr>
              <w:t>and</w:t>
            </w:r>
            <w:r w:rsidRPr="0017129E">
              <w:rPr>
                <w:rFonts w:ascii="Arial" w:eastAsia="Arial" w:hAnsi="Arial" w:cs="Arial"/>
                <w:b/>
                <w:bCs/>
              </w:rPr>
              <w:t xml:space="preserve"> adequacy</w:t>
            </w:r>
            <w:r w:rsidRPr="0017129E">
              <w:rPr>
                <w:rFonts w:ascii="Arial" w:eastAsia="Arial" w:hAnsi="Arial" w:cs="Arial"/>
              </w:rPr>
              <w:t xml:space="preserve"> of </w:t>
            </w:r>
            <w:r w:rsidRPr="0017129E">
              <w:rPr>
                <w:rFonts w:ascii="Arial" w:eastAsia="Arial" w:hAnsi="Arial" w:cs="Arial"/>
                <w:b/>
                <w:bCs/>
              </w:rPr>
              <w:t>prehospital services</w:t>
            </w:r>
          </w:p>
          <w:p w:rsidR="00FB4EEE" w:rsidRPr="0017129E" w:rsidRDefault="00781036" w:rsidP="0017129E">
            <w:pPr>
              <w:pStyle w:val="Body"/>
              <w:numPr>
                <w:ilvl w:val="1"/>
                <w:numId w:val="5"/>
              </w:numPr>
              <w:rPr>
                <w:rFonts w:ascii="Arial" w:eastAsia="Arial" w:hAnsi="Arial" w:cs="Arial"/>
              </w:rPr>
            </w:pPr>
            <w:r w:rsidRPr="0017129E">
              <w:rPr>
                <w:rFonts w:ascii="Arial" w:eastAsia="Arial" w:hAnsi="Arial" w:cs="Arial"/>
              </w:rPr>
              <w:t>Mentions</w:t>
            </w:r>
            <w:r w:rsidRPr="0017129E">
              <w:rPr>
                <w:rFonts w:ascii="Arial" w:eastAsia="Arial" w:hAnsi="Arial" w:cs="Arial"/>
                <w:b/>
                <w:bCs/>
              </w:rPr>
              <w:t xml:space="preserve"> bed numbers </w:t>
            </w:r>
            <w:r w:rsidRPr="0017129E">
              <w:rPr>
                <w:rFonts w:ascii="Arial" w:eastAsia="Arial" w:hAnsi="Arial" w:cs="Arial"/>
              </w:rPr>
              <w:t xml:space="preserve">and other </w:t>
            </w:r>
            <w:r w:rsidRPr="0017129E">
              <w:rPr>
                <w:rFonts w:ascii="Arial" w:eastAsia="Arial" w:hAnsi="Arial" w:cs="Arial"/>
                <w:b/>
                <w:bCs/>
              </w:rPr>
              <w:t>hospital facilities</w:t>
            </w:r>
          </w:p>
          <w:p w:rsidR="00FB4EEE" w:rsidRPr="0017129E" w:rsidRDefault="00781036" w:rsidP="0017129E">
            <w:pPr>
              <w:pStyle w:val="Body"/>
              <w:numPr>
                <w:ilvl w:val="1"/>
                <w:numId w:val="5"/>
              </w:numPr>
              <w:rPr>
                <w:rFonts w:ascii="Arial" w:eastAsia="Arial" w:hAnsi="Arial" w:cs="Arial"/>
              </w:rPr>
            </w:pPr>
            <w:r w:rsidRPr="0017129E">
              <w:rPr>
                <w:rFonts w:ascii="Arial" w:eastAsia="Arial" w:hAnsi="Arial" w:cs="Arial"/>
              </w:rPr>
              <w:t xml:space="preserve">Mentions </w:t>
            </w:r>
            <w:r w:rsidRPr="0017129E">
              <w:rPr>
                <w:rFonts w:ascii="Arial" w:eastAsia="Arial" w:hAnsi="Arial" w:cs="Arial"/>
                <w:b/>
                <w:bCs/>
              </w:rPr>
              <w:t>presence</w:t>
            </w:r>
            <w:r w:rsidRPr="0017129E">
              <w:rPr>
                <w:rFonts w:ascii="Arial" w:eastAsia="Arial" w:hAnsi="Arial" w:cs="Arial"/>
              </w:rPr>
              <w:t xml:space="preserve"> and </w:t>
            </w:r>
            <w:r w:rsidRPr="0017129E">
              <w:rPr>
                <w:rFonts w:ascii="Arial" w:eastAsia="Arial" w:hAnsi="Arial" w:cs="Arial"/>
                <w:b/>
                <w:bCs/>
              </w:rPr>
              <w:t>adequacy</w:t>
            </w:r>
            <w:r w:rsidRPr="0017129E">
              <w:rPr>
                <w:rFonts w:ascii="Arial" w:eastAsia="Arial" w:hAnsi="Arial" w:cs="Arial"/>
              </w:rPr>
              <w:t xml:space="preserve"> of </w:t>
            </w:r>
            <w:r w:rsidRPr="0017129E">
              <w:rPr>
                <w:rFonts w:ascii="Arial" w:eastAsia="Arial" w:hAnsi="Arial" w:cs="Arial"/>
                <w:b/>
                <w:bCs/>
              </w:rPr>
              <w:t>basic utilities</w:t>
            </w:r>
            <w:r w:rsidRPr="0017129E">
              <w:rPr>
                <w:rFonts w:ascii="Arial" w:eastAsia="Arial" w:hAnsi="Arial" w:cs="Arial"/>
              </w:rPr>
              <w:t xml:space="preserve"> such as </w:t>
            </w:r>
            <w:r w:rsidRPr="0017129E">
              <w:rPr>
                <w:rFonts w:ascii="Arial" w:eastAsia="Arial" w:hAnsi="Arial" w:cs="Arial"/>
                <w:b/>
                <w:bCs/>
              </w:rPr>
              <w:t>running water</w:t>
            </w:r>
            <w:r w:rsidRPr="0017129E">
              <w:rPr>
                <w:rFonts w:ascii="Arial" w:eastAsia="Arial" w:hAnsi="Arial" w:cs="Arial"/>
              </w:rPr>
              <w:t xml:space="preserve">, </w:t>
            </w:r>
            <w:r w:rsidRPr="0017129E">
              <w:rPr>
                <w:rFonts w:ascii="Arial" w:eastAsia="Arial" w:hAnsi="Arial" w:cs="Arial"/>
                <w:b/>
                <w:bCs/>
              </w:rPr>
              <w:t>electricity</w:t>
            </w:r>
            <w:r w:rsidRPr="0017129E">
              <w:rPr>
                <w:rFonts w:ascii="Arial" w:eastAsia="Arial" w:hAnsi="Arial" w:cs="Arial"/>
              </w:rPr>
              <w:t xml:space="preserve"> and </w:t>
            </w:r>
            <w:r w:rsidRPr="0017129E">
              <w:rPr>
                <w:rFonts w:ascii="Arial" w:eastAsia="Arial" w:hAnsi="Arial" w:cs="Arial"/>
                <w:b/>
                <w:bCs/>
              </w:rPr>
              <w:t>blood banks</w:t>
            </w:r>
          </w:p>
        </w:tc>
      </w:tr>
      <w:tr w:rsidR="0017129E" w:rsidRPr="0017129E" w:rsidTr="0017129E">
        <w:trPr>
          <w:trHeight w:val="546"/>
        </w:trPr>
        <w:tc>
          <w:tcPr>
            <w:tcW w:w="1440" w:type="dxa"/>
            <w:tcBorders>
              <w:top w:val="single" w:sz="6" w:space="0" w:color="000000"/>
              <w:left w:val="single" w:sz="8" w:space="0" w:color="000000"/>
              <w:bottom w:val="single" w:sz="6" w:space="0" w:color="000000"/>
              <w:right w:val="single" w:sz="8" w:space="0" w:color="000000"/>
            </w:tcBorders>
            <w:shd w:val="clear" w:color="auto" w:fill="auto"/>
            <w:tcMar>
              <w:top w:w="17" w:type="dxa"/>
              <w:left w:w="17" w:type="dxa"/>
              <w:bottom w:w="17" w:type="dxa"/>
              <w:right w:w="17" w:type="dxa"/>
            </w:tcMar>
            <w:hideMark/>
          </w:tcPr>
          <w:p w:rsidR="0017129E" w:rsidRPr="0017129E" w:rsidRDefault="0017129E" w:rsidP="0017129E">
            <w:pPr>
              <w:pStyle w:val="Body"/>
              <w:rPr>
                <w:rFonts w:ascii="Arial" w:eastAsia="Arial" w:hAnsi="Arial" w:cs="Arial"/>
              </w:rPr>
            </w:pPr>
            <w:r w:rsidRPr="0017129E">
              <w:rPr>
                <w:rFonts w:ascii="Arial" w:eastAsia="Arial" w:hAnsi="Arial" w:cs="Arial"/>
              </w:rPr>
              <w:t>Role</w:t>
            </w:r>
          </w:p>
        </w:tc>
        <w:tc>
          <w:tcPr>
            <w:tcW w:w="7764" w:type="dxa"/>
            <w:tcBorders>
              <w:top w:val="single" w:sz="6" w:space="0" w:color="000000"/>
              <w:left w:val="single" w:sz="8" w:space="0" w:color="000000"/>
              <w:bottom w:val="single" w:sz="6" w:space="0" w:color="000000"/>
              <w:right w:val="single" w:sz="8" w:space="0" w:color="000000"/>
            </w:tcBorders>
            <w:shd w:val="clear" w:color="auto" w:fill="auto"/>
            <w:tcMar>
              <w:top w:w="17" w:type="dxa"/>
              <w:left w:w="17" w:type="dxa"/>
              <w:bottom w:w="17" w:type="dxa"/>
              <w:right w:w="17" w:type="dxa"/>
            </w:tcMar>
            <w:hideMark/>
          </w:tcPr>
          <w:p w:rsidR="00FB4EEE" w:rsidRPr="0017129E" w:rsidRDefault="00781036" w:rsidP="0017129E">
            <w:pPr>
              <w:pStyle w:val="Body"/>
              <w:numPr>
                <w:ilvl w:val="1"/>
                <w:numId w:val="6"/>
              </w:numPr>
              <w:rPr>
                <w:rFonts w:ascii="Arial" w:eastAsia="Arial" w:hAnsi="Arial" w:cs="Arial"/>
              </w:rPr>
            </w:pPr>
            <w:r w:rsidRPr="0017129E">
              <w:rPr>
                <w:rFonts w:ascii="Arial" w:eastAsia="Arial" w:hAnsi="Arial" w:cs="Arial"/>
              </w:rPr>
              <w:t xml:space="preserve">Discusses </w:t>
            </w:r>
            <w:r w:rsidRPr="0017129E">
              <w:rPr>
                <w:rFonts w:ascii="Arial" w:eastAsia="Arial" w:hAnsi="Arial" w:cs="Arial"/>
                <w:b/>
                <w:bCs/>
              </w:rPr>
              <w:t>autonomy</w:t>
            </w:r>
            <w:r w:rsidRPr="0017129E">
              <w:rPr>
                <w:rFonts w:ascii="Arial" w:eastAsia="Arial" w:hAnsi="Arial" w:cs="Arial"/>
              </w:rPr>
              <w:t xml:space="preserve"> of staff with regards to </w:t>
            </w:r>
            <w:r w:rsidRPr="0017129E">
              <w:rPr>
                <w:rFonts w:ascii="Arial" w:eastAsia="Arial" w:hAnsi="Arial" w:cs="Arial"/>
                <w:b/>
                <w:bCs/>
              </w:rPr>
              <w:t>decision-making</w:t>
            </w:r>
            <w:r w:rsidRPr="0017129E">
              <w:rPr>
                <w:rFonts w:ascii="Arial" w:eastAsia="Arial" w:hAnsi="Arial" w:cs="Arial"/>
              </w:rPr>
              <w:t xml:space="preserve"> over shift allocation, service design and staff appointments</w:t>
            </w:r>
          </w:p>
        </w:tc>
      </w:tr>
      <w:tr w:rsidR="0017129E" w:rsidRPr="0017129E" w:rsidTr="0017129E">
        <w:trPr>
          <w:trHeight w:val="459"/>
        </w:trPr>
        <w:tc>
          <w:tcPr>
            <w:tcW w:w="1440" w:type="dxa"/>
            <w:tcBorders>
              <w:top w:val="single" w:sz="6" w:space="0" w:color="000000"/>
              <w:left w:val="single" w:sz="8" w:space="0" w:color="000000"/>
              <w:bottom w:val="single" w:sz="6" w:space="0" w:color="000000"/>
              <w:right w:val="single" w:sz="8" w:space="0" w:color="000000"/>
            </w:tcBorders>
            <w:shd w:val="clear" w:color="auto" w:fill="auto"/>
            <w:tcMar>
              <w:top w:w="17" w:type="dxa"/>
              <w:left w:w="17" w:type="dxa"/>
              <w:bottom w:w="17" w:type="dxa"/>
              <w:right w:w="17" w:type="dxa"/>
            </w:tcMar>
            <w:hideMark/>
          </w:tcPr>
          <w:p w:rsidR="0017129E" w:rsidRPr="0017129E" w:rsidRDefault="0017129E" w:rsidP="0017129E">
            <w:pPr>
              <w:pStyle w:val="Body"/>
              <w:rPr>
                <w:rFonts w:ascii="Arial" w:eastAsia="Arial" w:hAnsi="Arial" w:cs="Arial"/>
              </w:rPr>
            </w:pPr>
            <w:r w:rsidRPr="0017129E">
              <w:rPr>
                <w:rFonts w:ascii="Arial" w:eastAsia="Arial" w:hAnsi="Arial" w:cs="Arial"/>
              </w:rPr>
              <w:t>Support</w:t>
            </w:r>
          </w:p>
        </w:tc>
        <w:tc>
          <w:tcPr>
            <w:tcW w:w="7764" w:type="dxa"/>
            <w:tcBorders>
              <w:top w:val="single" w:sz="6" w:space="0" w:color="000000"/>
              <w:left w:val="single" w:sz="8" w:space="0" w:color="000000"/>
              <w:bottom w:val="single" w:sz="6" w:space="0" w:color="000000"/>
              <w:right w:val="single" w:sz="8" w:space="0" w:color="000000"/>
            </w:tcBorders>
            <w:shd w:val="clear" w:color="auto" w:fill="auto"/>
            <w:tcMar>
              <w:top w:w="17" w:type="dxa"/>
              <w:left w:w="17" w:type="dxa"/>
              <w:bottom w:w="17" w:type="dxa"/>
              <w:right w:w="17" w:type="dxa"/>
            </w:tcMar>
            <w:hideMark/>
          </w:tcPr>
          <w:p w:rsidR="00FB4EEE" w:rsidRPr="0017129E" w:rsidRDefault="00781036" w:rsidP="0017129E">
            <w:pPr>
              <w:pStyle w:val="Body"/>
              <w:numPr>
                <w:ilvl w:val="1"/>
                <w:numId w:val="7"/>
              </w:numPr>
              <w:rPr>
                <w:rFonts w:ascii="Arial" w:eastAsia="Arial" w:hAnsi="Arial" w:cs="Arial"/>
              </w:rPr>
            </w:pPr>
            <w:r w:rsidRPr="0017129E">
              <w:rPr>
                <w:rFonts w:ascii="Arial" w:eastAsia="Arial" w:hAnsi="Arial" w:cs="Arial"/>
              </w:rPr>
              <w:t xml:space="preserve">Mentions </w:t>
            </w:r>
            <w:r w:rsidRPr="0017129E">
              <w:rPr>
                <w:rFonts w:ascii="Arial" w:eastAsia="Arial" w:hAnsi="Arial" w:cs="Arial"/>
                <w:b/>
                <w:bCs/>
              </w:rPr>
              <w:t>accessibility</w:t>
            </w:r>
            <w:r w:rsidRPr="0017129E">
              <w:rPr>
                <w:rFonts w:ascii="Arial" w:eastAsia="Arial" w:hAnsi="Arial" w:cs="Arial"/>
              </w:rPr>
              <w:t xml:space="preserve"> to </w:t>
            </w:r>
            <w:r w:rsidRPr="0017129E">
              <w:rPr>
                <w:rFonts w:ascii="Arial" w:eastAsia="Arial" w:hAnsi="Arial" w:cs="Arial"/>
                <w:b/>
                <w:bCs/>
              </w:rPr>
              <w:t>supportive facilities</w:t>
            </w:r>
            <w:r w:rsidRPr="0017129E">
              <w:rPr>
                <w:rFonts w:ascii="Arial" w:eastAsia="Arial" w:hAnsi="Arial" w:cs="Arial"/>
              </w:rPr>
              <w:t xml:space="preserve"> (e.g. laboratory, radiology) or </w:t>
            </w:r>
            <w:r w:rsidRPr="0017129E">
              <w:rPr>
                <w:rFonts w:ascii="Arial" w:eastAsia="Arial" w:hAnsi="Arial" w:cs="Arial"/>
                <w:b/>
                <w:bCs/>
              </w:rPr>
              <w:t>other</w:t>
            </w:r>
            <w:r w:rsidRPr="0017129E">
              <w:rPr>
                <w:rFonts w:ascii="Arial" w:eastAsia="Arial" w:hAnsi="Arial" w:cs="Arial"/>
              </w:rPr>
              <w:t xml:space="preserve"> </w:t>
            </w:r>
            <w:r w:rsidRPr="0017129E">
              <w:rPr>
                <w:rFonts w:ascii="Arial" w:eastAsia="Arial" w:hAnsi="Arial" w:cs="Arial"/>
                <w:b/>
                <w:bCs/>
              </w:rPr>
              <w:t>specialties</w:t>
            </w:r>
          </w:p>
        </w:tc>
      </w:tr>
    </w:tbl>
    <w:p w:rsidR="0017129E" w:rsidRDefault="0017129E"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Countries within which studies were based were categorised by World Bank region and income level. The type of study, countries of the authors, and number of centres involved (if applicable) were also recorded.</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Heading2"/>
        <w:spacing w:line="480" w:lineRule="auto"/>
        <w:jc w:val="both"/>
        <w:rPr>
          <w:rFonts w:ascii="Arial" w:eastAsia="Arial" w:hAnsi="Arial" w:cs="Arial"/>
          <w:sz w:val="24"/>
          <w:szCs w:val="24"/>
          <w:u w:val="single"/>
        </w:rPr>
      </w:pPr>
      <w:r>
        <w:rPr>
          <w:rFonts w:ascii="Arial" w:hAnsi="Arial"/>
          <w:sz w:val="24"/>
          <w:szCs w:val="24"/>
          <w:u w:val="single"/>
        </w:rPr>
        <w:t>Results</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Following screening of titles and abstracts, 74 articles were selected. The best available evidence in this field consisted of cross-sectional surveys and case reports.</w:t>
      </w:r>
    </w:p>
    <w:p w:rsidR="00CF084F" w:rsidRDefault="00346DCB" w:rsidP="00DA7D43">
      <w:pPr>
        <w:pStyle w:val="Body"/>
        <w:spacing w:line="480" w:lineRule="auto"/>
        <w:jc w:val="both"/>
        <w:rPr>
          <w:rFonts w:ascii="Arial" w:eastAsia="Arial" w:hAnsi="Arial" w:cs="Arial"/>
          <w:sz w:val="24"/>
          <w:szCs w:val="24"/>
        </w:rPr>
      </w:pPr>
      <w:r>
        <w:rPr>
          <w:rFonts w:ascii="Arial" w:eastAsia="Arial" w:hAnsi="Arial" w:cs="Arial"/>
          <w:sz w:val="24"/>
          <w:szCs w:val="24"/>
        </w:rPr>
        <w:tab/>
      </w: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 xml:space="preserve">The selected studies spanned 44 countries (Fig. </w:t>
      </w:r>
      <w:r w:rsidR="00C832C1">
        <w:rPr>
          <w:rFonts w:ascii="Arial" w:hAnsi="Arial"/>
          <w:sz w:val="24"/>
          <w:szCs w:val="24"/>
          <w:lang w:val="en-US"/>
        </w:rPr>
        <w:t>3</w:t>
      </w:r>
      <w:r>
        <w:rPr>
          <w:rFonts w:ascii="Arial" w:hAnsi="Arial"/>
          <w:sz w:val="24"/>
          <w:szCs w:val="24"/>
          <w:lang w:val="en-US"/>
        </w:rPr>
        <w:t xml:space="preserve">). 12 studies included multiple countries in their analyses, by either conducting </w:t>
      </w:r>
      <w:r w:rsidR="001E44FB">
        <w:rPr>
          <w:rFonts w:ascii="Arial" w:hAnsi="Arial"/>
          <w:sz w:val="24"/>
          <w:szCs w:val="24"/>
          <w:lang w:val="en-US"/>
        </w:rPr>
        <w:t>either</w:t>
      </w:r>
      <w:r>
        <w:rPr>
          <w:rFonts w:ascii="Arial" w:hAnsi="Arial"/>
          <w:sz w:val="24"/>
          <w:szCs w:val="24"/>
          <w:lang w:val="en-US"/>
        </w:rPr>
        <w:t xml:space="preserve"> </w:t>
      </w:r>
      <w:r w:rsidR="001E44FB">
        <w:rPr>
          <w:rFonts w:ascii="Arial" w:hAnsi="Arial"/>
          <w:sz w:val="24"/>
          <w:szCs w:val="24"/>
          <w:lang w:val="en-US"/>
        </w:rPr>
        <w:t>inter</w:t>
      </w:r>
      <w:r>
        <w:rPr>
          <w:rFonts w:ascii="Arial" w:hAnsi="Arial"/>
          <w:sz w:val="24"/>
          <w:szCs w:val="24"/>
          <w:lang w:val="en-US"/>
        </w:rPr>
        <w:t xml:space="preserve">-continental </w:t>
      </w:r>
      <w:r w:rsidR="001E44FB">
        <w:rPr>
          <w:rFonts w:ascii="Arial" w:hAnsi="Arial"/>
          <w:sz w:val="24"/>
          <w:szCs w:val="24"/>
          <w:lang w:val="en-US"/>
        </w:rPr>
        <w:t>comparisons,</w:t>
      </w:r>
      <w:r>
        <w:rPr>
          <w:rFonts w:ascii="Arial" w:hAnsi="Arial"/>
          <w:sz w:val="24"/>
          <w:szCs w:val="24"/>
          <w:lang w:val="en-US"/>
        </w:rPr>
        <w:t xml:space="preserve"> or</w:t>
      </w:r>
      <w:r w:rsidR="00672AC6">
        <w:rPr>
          <w:rFonts w:ascii="Arial" w:hAnsi="Arial"/>
          <w:sz w:val="24"/>
          <w:szCs w:val="24"/>
          <w:lang w:val="en-US"/>
        </w:rPr>
        <w:t xml:space="preserve"> by</w:t>
      </w:r>
      <w:r>
        <w:rPr>
          <w:rFonts w:ascii="Arial" w:hAnsi="Arial"/>
          <w:sz w:val="24"/>
          <w:szCs w:val="24"/>
          <w:lang w:val="en-US"/>
        </w:rPr>
        <w:t xml:space="preserve"> </w:t>
      </w:r>
      <w:r w:rsidR="00672AC6">
        <w:rPr>
          <w:rFonts w:ascii="Arial" w:hAnsi="Arial"/>
          <w:sz w:val="24"/>
          <w:szCs w:val="24"/>
          <w:lang w:val="en-US"/>
        </w:rPr>
        <w:t>comparing</w:t>
      </w:r>
      <w:r>
        <w:rPr>
          <w:rFonts w:ascii="Arial" w:hAnsi="Arial"/>
          <w:sz w:val="24"/>
          <w:szCs w:val="24"/>
          <w:lang w:val="en-US"/>
        </w:rPr>
        <w:t xml:space="preserve"> high- and low-income acute care systems. The large majority examined </w:t>
      </w:r>
      <w:r w:rsidR="001E44FB">
        <w:rPr>
          <w:rFonts w:ascii="Arial" w:hAnsi="Arial"/>
          <w:sz w:val="24"/>
          <w:szCs w:val="24"/>
          <w:lang w:val="en-US"/>
        </w:rPr>
        <w:t>Sub-Saharan</w:t>
      </w:r>
      <w:r>
        <w:rPr>
          <w:rFonts w:ascii="Arial" w:hAnsi="Arial"/>
          <w:sz w:val="24"/>
          <w:szCs w:val="24"/>
          <w:lang w:val="en-US"/>
        </w:rPr>
        <w:t xml:space="preserve"> Africa (</w:t>
      </w:r>
      <w:r>
        <w:rPr>
          <w:rFonts w:ascii="Arial" w:hAnsi="Arial"/>
          <w:i/>
          <w:iCs/>
          <w:sz w:val="24"/>
          <w:szCs w:val="24"/>
          <w:lang w:val="en-US"/>
        </w:rPr>
        <w:t>n</w:t>
      </w:r>
      <w:r>
        <w:rPr>
          <w:rFonts w:ascii="Arial" w:hAnsi="Arial"/>
          <w:sz w:val="24"/>
          <w:szCs w:val="24"/>
          <w:lang w:val="en-US"/>
        </w:rPr>
        <w:t xml:space="preserve"> = 21), followed by Southern Asia (</w:t>
      </w:r>
      <w:r>
        <w:rPr>
          <w:rFonts w:ascii="Arial" w:hAnsi="Arial"/>
          <w:i/>
          <w:iCs/>
          <w:sz w:val="24"/>
          <w:szCs w:val="24"/>
          <w:lang w:val="en-US"/>
        </w:rPr>
        <w:t>n</w:t>
      </w:r>
      <w:r>
        <w:rPr>
          <w:rFonts w:ascii="Arial" w:hAnsi="Arial"/>
          <w:sz w:val="24"/>
          <w:szCs w:val="24"/>
          <w:lang w:val="en-US"/>
        </w:rPr>
        <w:t xml:space="preserve"> = 11).</w:t>
      </w:r>
    </w:p>
    <w:p w:rsidR="00CF084F" w:rsidRDefault="00CF084F" w:rsidP="00DA7D43">
      <w:pPr>
        <w:pStyle w:val="Body"/>
        <w:spacing w:line="480" w:lineRule="auto"/>
        <w:rPr>
          <w:rFonts w:ascii="Arial" w:eastAsia="Arial" w:hAnsi="Arial" w:cs="Arial"/>
          <w:sz w:val="24"/>
          <w:szCs w:val="24"/>
        </w:rPr>
      </w:pPr>
    </w:p>
    <w:p w:rsidR="00CF084F" w:rsidRDefault="00346DCB" w:rsidP="00DA7D43">
      <w:pPr>
        <w:pStyle w:val="Heading2"/>
        <w:spacing w:line="480" w:lineRule="auto"/>
        <w:jc w:val="both"/>
        <w:rPr>
          <w:rFonts w:ascii="Arial" w:eastAsia="Arial" w:hAnsi="Arial" w:cs="Arial"/>
          <w:b w:val="0"/>
          <w:bCs w:val="0"/>
          <w:sz w:val="24"/>
          <w:szCs w:val="24"/>
          <w:u w:val="single"/>
        </w:rPr>
      </w:pPr>
      <w:r>
        <w:rPr>
          <w:rFonts w:ascii="Arial" w:hAnsi="Arial"/>
          <w:b w:val="0"/>
          <w:bCs w:val="0"/>
          <w:sz w:val="24"/>
          <w:szCs w:val="24"/>
          <w:u w:val="single"/>
        </w:rPr>
        <w:lastRenderedPageBreak/>
        <w:t>Authorship</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 xml:space="preserve">The majority </w:t>
      </w:r>
      <w:r w:rsidR="00672AC6">
        <w:rPr>
          <w:rFonts w:ascii="Arial" w:hAnsi="Arial"/>
          <w:sz w:val="24"/>
          <w:szCs w:val="24"/>
          <w:lang w:val="en-US"/>
        </w:rPr>
        <w:t xml:space="preserve">of articles </w:t>
      </w:r>
      <w:r>
        <w:rPr>
          <w:rFonts w:ascii="Arial" w:hAnsi="Arial"/>
          <w:sz w:val="24"/>
          <w:szCs w:val="24"/>
          <w:lang w:val="en-US"/>
        </w:rPr>
        <w:t>(70%) entailed international collaboration between authors (</w:t>
      </w:r>
      <w:r>
        <w:rPr>
          <w:rFonts w:ascii="Arial" w:hAnsi="Arial"/>
          <w:i/>
          <w:iCs/>
          <w:sz w:val="24"/>
          <w:szCs w:val="24"/>
          <w:lang w:val="en-US"/>
        </w:rPr>
        <w:t>n</w:t>
      </w:r>
      <w:r>
        <w:rPr>
          <w:rFonts w:ascii="Arial" w:hAnsi="Arial"/>
          <w:sz w:val="24"/>
          <w:szCs w:val="24"/>
          <w:lang w:val="en-US"/>
        </w:rPr>
        <w:t xml:space="preserve"> = 52). </w:t>
      </w:r>
      <w:r w:rsidR="00672AC6">
        <w:rPr>
          <w:rFonts w:ascii="Arial" w:hAnsi="Arial"/>
          <w:sz w:val="24"/>
          <w:szCs w:val="24"/>
          <w:lang w:val="en-US"/>
        </w:rPr>
        <w:t>81</w:t>
      </w:r>
      <w:r>
        <w:rPr>
          <w:rFonts w:ascii="Arial" w:hAnsi="Arial"/>
          <w:sz w:val="24"/>
          <w:szCs w:val="24"/>
          <w:lang w:val="en-US"/>
        </w:rPr>
        <w:t>% also had at least one author based in the country wherein the study was conducted. Notably, more than half (53%) of articles were first-authored by researchers based in institutions in the United States of America.</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Heading2"/>
        <w:spacing w:line="480" w:lineRule="auto"/>
        <w:jc w:val="both"/>
        <w:rPr>
          <w:rFonts w:ascii="Arial" w:eastAsia="Arial" w:hAnsi="Arial" w:cs="Arial"/>
          <w:b w:val="0"/>
          <w:bCs w:val="0"/>
          <w:sz w:val="24"/>
          <w:szCs w:val="24"/>
          <w:u w:val="single"/>
        </w:rPr>
      </w:pPr>
      <w:r>
        <w:rPr>
          <w:rFonts w:ascii="Arial" w:hAnsi="Arial"/>
          <w:b w:val="0"/>
          <w:bCs w:val="0"/>
          <w:sz w:val="24"/>
          <w:szCs w:val="24"/>
          <w:u w:val="single"/>
        </w:rPr>
        <w:t>Study types</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The majority</w:t>
      </w:r>
      <w:r w:rsidR="00672AC6">
        <w:rPr>
          <w:rFonts w:ascii="Arial" w:hAnsi="Arial"/>
          <w:sz w:val="24"/>
          <w:szCs w:val="24"/>
          <w:lang w:val="en-US"/>
        </w:rPr>
        <w:t xml:space="preserve"> of articles</w:t>
      </w:r>
      <w:r>
        <w:rPr>
          <w:rFonts w:ascii="Arial" w:hAnsi="Arial"/>
          <w:sz w:val="24"/>
          <w:szCs w:val="24"/>
          <w:lang w:val="en-US"/>
        </w:rPr>
        <w:t xml:space="preserve"> were cross-sectional studies (</w:t>
      </w:r>
      <w:r>
        <w:rPr>
          <w:rFonts w:ascii="Arial" w:hAnsi="Arial"/>
          <w:i/>
          <w:iCs/>
          <w:sz w:val="24"/>
          <w:szCs w:val="24"/>
          <w:lang w:val="en-US"/>
        </w:rPr>
        <w:t>n</w:t>
      </w:r>
      <w:r>
        <w:rPr>
          <w:rFonts w:ascii="Arial" w:hAnsi="Arial"/>
          <w:sz w:val="24"/>
          <w:szCs w:val="24"/>
          <w:lang w:val="en-US"/>
        </w:rPr>
        <w:t xml:space="preserve"> = 43), followed by case reports documenting the state of national or regional emergency or acute care (</w:t>
      </w:r>
      <w:r>
        <w:rPr>
          <w:rFonts w:ascii="Arial" w:hAnsi="Arial"/>
          <w:i/>
          <w:iCs/>
          <w:sz w:val="24"/>
          <w:szCs w:val="24"/>
          <w:lang w:val="en-US"/>
        </w:rPr>
        <w:t>n</w:t>
      </w:r>
      <w:r>
        <w:rPr>
          <w:rFonts w:ascii="Arial" w:hAnsi="Arial"/>
          <w:sz w:val="24"/>
          <w:szCs w:val="24"/>
          <w:lang w:val="en-US"/>
        </w:rPr>
        <w:t xml:space="preserve"> = 24). Three reviews analysed the state of acute care in low- or middle-income settings. Two quality improvement exercises, one observational study, and one conference consensus statement were</w:t>
      </w:r>
      <w:r w:rsidR="001E44FB">
        <w:rPr>
          <w:rFonts w:ascii="Arial" w:hAnsi="Arial"/>
          <w:sz w:val="24"/>
          <w:szCs w:val="24"/>
          <w:lang w:val="en-US"/>
        </w:rPr>
        <w:t xml:space="preserve"> also</w:t>
      </w:r>
      <w:r>
        <w:rPr>
          <w:rFonts w:ascii="Arial" w:hAnsi="Arial"/>
          <w:sz w:val="24"/>
          <w:szCs w:val="24"/>
          <w:lang w:val="en-US"/>
        </w:rPr>
        <w:t xml:space="preserve"> included. </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Cross-sectional studies derived data from a mix of primary and secondary data sources. The majority were multi-centred (</w:t>
      </w:r>
      <w:r>
        <w:rPr>
          <w:rFonts w:ascii="Arial" w:hAnsi="Arial"/>
          <w:i/>
          <w:iCs/>
          <w:sz w:val="24"/>
          <w:szCs w:val="24"/>
          <w:lang w:val="en-US"/>
        </w:rPr>
        <w:t>n</w:t>
      </w:r>
      <w:r>
        <w:rPr>
          <w:rFonts w:ascii="Arial" w:hAnsi="Arial"/>
          <w:sz w:val="24"/>
          <w:szCs w:val="24"/>
          <w:lang w:val="en-US"/>
        </w:rPr>
        <w:t xml:space="preserve"> = 27), sampling data from health centres, district, regional and tertiary referral hospitals across a range of private, public, and NGO-based providers depending on a country’s healthcare infrastructure. Over half of cross-sectional studies involved investigators conducting data collection on-site (</w:t>
      </w:r>
      <w:r>
        <w:rPr>
          <w:rFonts w:ascii="Arial" w:hAnsi="Arial"/>
          <w:i/>
          <w:iCs/>
          <w:sz w:val="24"/>
          <w:szCs w:val="24"/>
          <w:lang w:val="en-US"/>
        </w:rPr>
        <w:t>n</w:t>
      </w:r>
      <w:r>
        <w:rPr>
          <w:rFonts w:ascii="Arial" w:hAnsi="Arial"/>
          <w:sz w:val="24"/>
          <w:szCs w:val="24"/>
          <w:lang w:val="en-US"/>
        </w:rPr>
        <w:t xml:space="preserve"> = 24), with the remaining doing so off-site through long-distance administration of surveys. 16 studies used the WHO Situational Analysis Tool for Emergency and Essential Surgical Care or a modified version, seven used the National ED Inventories Survey Instrument developed in the United States, one employed the Emergency Care Capacity Score, and one used the WHO’s Essential Trauma Care Guidelines. A quantitative approach to analysis was adopted across the majority of cross-sectional studies with only one study explicitly employing a mixed-methods </w:t>
      </w:r>
      <w:r>
        <w:rPr>
          <w:rFonts w:ascii="Arial" w:hAnsi="Arial"/>
          <w:sz w:val="24"/>
          <w:szCs w:val="24"/>
          <w:lang w:val="en-US"/>
        </w:rPr>
        <w:lastRenderedPageBreak/>
        <w:t xml:space="preserve">approach. The case reports were </w:t>
      </w:r>
      <w:r w:rsidR="00672AC6">
        <w:rPr>
          <w:rFonts w:ascii="Arial" w:hAnsi="Arial"/>
          <w:sz w:val="24"/>
          <w:szCs w:val="24"/>
          <w:lang w:val="en-US"/>
        </w:rPr>
        <w:t>effectively</w:t>
      </w:r>
      <w:r>
        <w:rPr>
          <w:rFonts w:ascii="Arial" w:hAnsi="Arial"/>
          <w:sz w:val="24"/>
          <w:szCs w:val="24"/>
          <w:lang w:val="en-US"/>
        </w:rPr>
        <w:t xml:space="preserve"> qualitative descriptions of systems and services.</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 xml:space="preserve">From the point-of-view of human resource, 78% of articles made reference to the training and competencies of acute care personnel and 63% to the availability of physical supplies, diagnostics and therapeutics in the clinical environment (Fig. </w:t>
      </w:r>
      <w:r w:rsidR="00C832C1">
        <w:rPr>
          <w:rFonts w:ascii="Arial" w:hAnsi="Arial"/>
          <w:sz w:val="24"/>
          <w:szCs w:val="24"/>
          <w:lang w:val="en-US"/>
        </w:rPr>
        <w:t>5</w:t>
      </w:r>
      <w:r>
        <w:rPr>
          <w:rFonts w:ascii="Arial" w:hAnsi="Arial"/>
          <w:sz w:val="24"/>
          <w:szCs w:val="24"/>
          <w:lang w:val="en-US"/>
        </w:rPr>
        <w:t>).</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Heading2"/>
        <w:spacing w:line="480" w:lineRule="auto"/>
        <w:jc w:val="both"/>
        <w:rPr>
          <w:rFonts w:ascii="Arial" w:eastAsia="Arial" w:hAnsi="Arial" w:cs="Arial"/>
          <w:b w:val="0"/>
          <w:bCs w:val="0"/>
          <w:sz w:val="24"/>
          <w:szCs w:val="24"/>
          <w:u w:val="single"/>
        </w:rPr>
      </w:pPr>
      <w:r>
        <w:rPr>
          <w:rFonts w:ascii="Arial" w:hAnsi="Arial"/>
          <w:b w:val="0"/>
          <w:bCs w:val="0"/>
          <w:sz w:val="24"/>
          <w:szCs w:val="24"/>
          <w:u w:val="single"/>
        </w:rPr>
        <w:t>Personal capacity</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There has been global under-recognition of acute and emergency medicine, with front-line facilities largely staffed by unspecialised personnel not necessarily trained in triage. This was reported in South Asia (Afghanistan, India, Nepal, Sri Lanka)</w:t>
      </w:r>
      <w:r>
        <w:rPr>
          <w:rFonts w:ascii="Arial" w:hAnsi="Arial"/>
          <w:sz w:val="24"/>
          <w:szCs w:val="24"/>
          <w:vertAlign w:val="superscript"/>
          <w:lang w:val="en-US"/>
        </w:rPr>
        <w:t>[14–19]</w:t>
      </w:r>
      <w:r>
        <w:rPr>
          <w:rFonts w:ascii="Arial" w:hAnsi="Arial"/>
          <w:sz w:val="24"/>
          <w:szCs w:val="24"/>
          <w:lang w:val="en-US"/>
        </w:rPr>
        <w:t>, Western Asia (Azerbaijan, Turkey)</w:t>
      </w:r>
      <w:r>
        <w:rPr>
          <w:rFonts w:ascii="Arial" w:hAnsi="Arial"/>
          <w:sz w:val="24"/>
          <w:szCs w:val="24"/>
          <w:vertAlign w:val="superscript"/>
        </w:rPr>
        <w:t>[20][21]</w:t>
      </w:r>
      <w:r>
        <w:rPr>
          <w:rFonts w:ascii="Arial" w:hAnsi="Arial"/>
          <w:sz w:val="24"/>
          <w:szCs w:val="24"/>
          <w:lang w:val="en-US"/>
        </w:rPr>
        <w:t>, Southeast Asia (Beijing, China)</w:t>
      </w:r>
      <w:r>
        <w:rPr>
          <w:rFonts w:ascii="Arial" w:hAnsi="Arial"/>
          <w:sz w:val="24"/>
          <w:szCs w:val="24"/>
          <w:vertAlign w:val="superscript"/>
          <w:lang w:val="pt-PT"/>
        </w:rPr>
        <w:t>[22]</w:t>
      </w:r>
      <w:r>
        <w:rPr>
          <w:rFonts w:ascii="Arial" w:hAnsi="Arial"/>
          <w:sz w:val="24"/>
          <w:szCs w:val="24"/>
          <w:lang w:val="en-US"/>
        </w:rPr>
        <w:t>, the Caribbean (Jamaica, St. Vincent &amp; the Grenadines)</w:t>
      </w:r>
      <w:r>
        <w:rPr>
          <w:rFonts w:ascii="Arial" w:hAnsi="Arial"/>
          <w:sz w:val="24"/>
          <w:szCs w:val="24"/>
          <w:vertAlign w:val="superscript"/>
          <w:lang w:val="en-US"/>
        </w:rPr>
        <w:t>[23–26]</w:t>
      </w:r>
      <w:r>
        <w:rPr>
          <w:rFonts w:ascii="Arial" w:hAnsi="Arial"/>
          <w:sz w:val="24"/>
          <w:szCs w:val="24"/>
          <w:lang w:val="en-US"/>
        </w:rPr>
        <w:t>, Subsaharan Africa (Sierra Leone, Sudan, Tanzania, South Africa, Nigeria)</w:t>
      </w:r>
      <w:r>
        <w:rPr>
          <w:rFonts w:ascii="Arial" w:hAnsi="Arial"/>
          <w:sz w:val="24"/>
          <w:szCs w:val="24"/>
          <w:vertAlign w:val="superscript"/>
          <w:lang w:val="en-US"/>
        </w:rPr>
        <w:t>[27–35]</w:t>
      </w:r>
      <w:r>
        <w:rPr>
          <w:rFonts w:ascii="Arial" w:hAnsi="Arial"/>
          <w:sz w:val="24"/>
          <w:szCs w:val="24"/>
          <w:lang w:val="en-US"/>
        </w:rPr>
        <w:t>, Melanesia (Solomon Islands)</w:t>
      </w:r>
      <w:r>
        <w:rPr>
          <w:rFonts w:ascii="Arial" w:hAnsi="Arial"/>
          <w:sz w:val="24"/>
          <w:szCs w:val="24"/>
          <w:vertAlign w:val="superscript"/>
        </w:rPr>
        <w:t>[36]</w:t>
      </w:r>
      <w:r>
        <w:rPr>
          <w:rFonts w:ascii="Arial" w:hAnsi="Arial"/>
          <w:sz w:val="24"/>
          <w:szCs w:val="24"/>
          <w:lang w:val="en-US"/>
        </w:rPr>
        <w:t>, and South America (Colombia)</w:t>
      </w:r>
      <w:r>
        <w:rPr>
          <w:rFonts w:ascii="Arial" w:hAnsi="Arial"/>
          <w:sz w:val="24"/>
          <w:szCs w:val="24"/>
          <w:vertAlign w:val="superscript"/>
        </w:rPr>
        <w:t>[37][38]</w:t>
      </w:r>
      <w:r>
        <w:rPr>
          <w:rFonts w:ascii="Arial" w:hAnsi="Arial"/>
          <w:sz w:val="24"/>
          <w:szCs w:val="24"/>
          <w:lang w:val="en-US"/>
        </w:rPr>
        <w:t>. However, this was not restricted to low-income settings. Deficiencies in specialised personnel were also identified in high-income settings across Europe, including Albania, Denmark, Germany, Switzerland and Slovenia.</w:t>
      </w:r>
      <w:r>
        <w:rPr>
          <w:rFonts w:ascii="Arial" w:hAnsi="Arial"/>
          <w:sz w:val="24"/>
          <w:szCs w:val="24"/>
          <w:vertAlign w:val="superscript"/>
          <w:lang w:val="en-US"/>
        </w:rPr>
        <w:t>[39–43]</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vertAlign w:val="superscript"/>
        </w:rPr>
      </w:pPr>
      <w:r>
        <w:rPr>
          <w:rFonts w:ascii="Arial" w:hAnsi="Arial"/>
          <w:sz w:val="24"/>
          <w:szCs w:val="24"/>
          <w:lang w:val="en-US"/>
        </w:rPr>
        <w:t>This has been</w:t>
      </w:r>
      <w:r>
        <w:rPr>
          <w:rFonts w:ascii="Arial" w:hAnsi="Arial"/>
          <w:sz w:val="24"/>
          <w:szCs w:val="24"/>
        </w:rPr>
        <w:t xml:space="preserve"> </w:t>
      </w:r>
      <w:r>
        <w:rPr>
          <w:rFonts w:ascii="Arial" w:hAnsi="Arial"/>
          <w:sz w:val="24"/>
          <w:szCs w:val="24"/>
          <w:lang w:val="en-US"/>
        </w:rPr>
        <w:t>exacerbated by</w:t>
      </w:r>
      <w:r>
        <w:rPr>
          <w:rFonts w:ascii="Arial" w:hAnsi="Arial"/>
          <w:sz w:val="24"/>
          <w:szCs w:val="24"/>
        </w:rPr>
        <w:t xml:space="preserve"> </w:t>
      </w:r>
      <w:r>
        <w:rPr>
          <w:rFonts w:ascii="Arial" w:hAnsi="Arial"/>
          <w:sz w:val="24"/>
          <w:szCs w:val="24"/>
          <w:lang w:val="en-US"/>
        </w:rPr>
        <w:t>a</w:t>
      </w:r>
      <w:r>
        <w:rPr>
          <w:rFonts w:ascii="Arial" w:hAnsi="Arial"/>
          <w:sz w:val="24"/>
          <w:szCs w:val="24"/>
        </w:rPr>
        <w:t xml:space="preserve"> </w:t>
      </w:r>
      <w:r>
        <w:rPr>
          <w:rFonts w:ascii="Arial" w:hAnsi="Arial"/>
          <w:sz w:val="24"/>
          <w:szCs w:val="24"/>
          <w:lang w:val="en-US"/>
        </w:rPr>
        <w:t>low</w:t>
      </w:r>
      <w:r>
        <w:rPr>
          <w:rFonts w:ascii="Arial" w:hAnsi="Arial"/>
          <w:sz w:val="24"/>
          <w:szCs w:val="24"/>
        </w:rPr>
        <w:t xml:space="preserve"> </w:t>
      </w:r>
      <w:r>
        <w:rPr>
          <w:rFonts w:ascii="Arial" w:hAnsi="Arial"/>
          <w:sz w:val="24"/>
          <w:szCs w:val="24"/>
          <w:lang w:val="en-US"/>
        </w:rPr>
        <w:t>capacity in or the absence altogether of specialist training programmes, lack of BLS and ALS</w:t>
      </w:r>
      <w:r>
        <w:rPr>
          <w:rFonts w:ascii="Arial" w:hAnsi="Arial"/>
          <w:sz w:val="24"/>
          <w:szCs w:val="24"/>
        </w:rPr>
        <w:t xml:space="preserve"> </w:t>
      </w:r>
      <w:r>
        <w:rPr>
          <w:rFonts w:ascii="Arial" w:hAnsi="Arial"/>
          <w:sz w:val="24"/>
          <w:szCs w:val="24"/>
          <w:lang w:val="en-US"/>
        </w:rPr>
        <w:t xml:space="preserve">training, and lack of accessibility to further qualifications such as mass casualty and trauma training. Several countries reported having developed accredited emergency medicine training programmes during the past couple of decades, including Turkey, Jamaica, Ghana, </w:t>
      </w:r>
      <w:r>
        <w:rPr>
          <w:rFonts w:ascii="Arial" w:hAnsi="Arial"/>
          <w:sz w:val="24"/>
          <w:szCs w:val="24"/>
          <w:lang w:val="it-IT"/>
        </w:rPr>
        <w:t>Tanzania</w:t>
      </w:r>
      <w:r>
        <w:rPr>
          <w:rFonts w:ascii="Arial" w:hAnsi="Arial"/>
          <w:sz w:val="24"/>
          <w:szCs w:val="24"/>
          <w:lang w:val="en-US"/>
        </w:rPr>
        <w:t xml:space="preserve">, South Africa, Spain, the Netherlands, </w:t>
      </w:r>
      <w:r>
        <w:rPr>
          <w:rFonts w:ascii="Arial" w:hAnsi="Arial"/>
          <w:sz w:val="24"/>
          <w:szCs w:val="24"/>
        </w:rPr>
        <w:t>Slovenia</w:t>
      </w:r>
      <w:r>
        <w:rPr>
          <w:rFonts w:ascii="Arial" w:hAnsi="Arial"/>
          <w:sz w:val="24"/>
          <w:szCs w:val="24"/>
          <w:lang w:val="en-US"/>
        </w:rPr>
        <w:t>, the United Arab Emirates, Sri Lanka, India, and Malaysia.</w:t>
      </w:r>
      <w:r>
        <w:rPr>
          <w:rFonts w:ascii="Arial" w:hAnsi="Arial"/>
          <w:sz w:val="24"/>
          <w:szCs w:val="24"/>
          <w:vertAlign w:val="superscript"/>
        </w:rPr>
        <w:t>[19][21]</w:t>
      </w:r>
      <w:r>
        <w:rPr>
          <w:rFonts w:ascii="Arial" w:hAnsi="Arial"/>
          <w:sz w:val="24"/>
          <w:szCs w:val="24"/>
          <w:vertAlign w:val="superscript"/>
          <w:lang w:val="en-US"/>
        </w:rPr>
        <w:t>[23–25]</w:t>
      </w:r>
      <w:r>
        <w:rPr>
          <w:rFonts w:ascii="Arial" w:hAnsi="Arial"/>
          <w:sz w:val="24"/>
          <w:szCs w:val="24"/>
          <w:vertAlign w:val="superscript"/>
        </w:rPr>
        <w:t>[34]</w:t>
      </w:r>
      <w:r>
        <w:rPr>
          <w:rFonts w:ascii="Arial" w:hAnsi="Arial"/>
          <w:sz w:val="24"/>
          <w:szCs w:val="24"/>
          <w:vertAlign w:val="superscript"/>
          <w:lang w:val="en-US"/>
        </w:rPr>
        <w:t>[43–48][49]</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Task-shifting to clinical officers, emergency room, or anaesthesia technicians was common practice in Subsaharan Africa.</w:t>
      </w:r>
      <w:r>
        <w:rPr>
          <w:rFonts w:ascii="Arial" w:hAnsi="Arial"/>
          <w:sz w:val="24"/>
          <w:szCs w:val="24"/>
          <w:vertAlign w:val="superscript"/>
        </w:rPr>
        <w:t>[27][33]</w:t>
      </w:r>
      <w:r>
        <w:rPr>
          <w:rFonts w:ascii="Arial" w:hAnsi="Arial"/>
          <w:sz w:val="24"/>
          <w:szCs w:val="24"/>
          <w:vertAlign w:val="superscript"/>
          <w:lang w:val="en-US"/>
        </w:rPr>
        <w:t xml:space="preserve">[50–53] </w:t>
      </w:r>
      <w:r>
        <w:rPr>
          <w:rFonts w:ascii="Arial" w:hAnsi="Arial"/>
          <w:sz w:val="24"/>
          <w:szCs w:val="24"/>
          <w:lang w:val="en-US"/>
        </w:rPr>
        <w:t>Nurse-led triage was reported in Sudan and Jamaica, as well as the development of emergency nurse training curricula in Tanzania.</w:t>
      </w:r>
      <w:r>
        <w:rPr>
          <w:rFonts w:ascii="Arial" w:hAnsi="Arial"/>
          <w:sz w:val="24"/>
          <w:szCs w:val="24"/>
          <w:vertAlign w:val="superscript"/>
          <w:lang w:val="en-US"/>
        </w:rPr>
        <w:t>[23]</w:t>
      </w:r>
      <w:r>
        <w:rPr>
          <w:rFonts w:ascii="Arial" w:hAnsi="Arial"/>
          <w:sz w:val="24"/>
          <w:szCs w:val="24"/>
          <w:vertAlign w:val="superscript"/>
        </w:rPr>
        <w:t>[29][31]</w:t>
      </w:r>
      <w:r>
        <w:rPr>
          <w:rFonts w:ascii="Arial" w:hAnsi="Arial"/>
          <w:sz w:val="24"/>
          <w:szCs w:val="24"/>
          <w:vertAlign w:val="superscript"/>
          <w:lang w:val="en-US"/>
        </w:rPr>
        <w:t xml:space="preserve"> </w:t>
      </w:r>
      <w:r>
        <w:rPr>
          <w:rFonts w:ascii="Arial" w:hAnsi="Arial"/>
          <w:sz w:val="24"/>
          <w:szCs w:val="24"/>
          <w:lang w:val="en-US"/>
        </w:rPr>
        <w:t>Roles for advanced nurse practitioners and physician associates have been identified within the contemporary acute setting in the United Kingdom.</w:t>
      </w:r>
      <w:r>
        <w:rPr>
          <w:rFonts w:ascii="Arial" w:hAnsi="Arial"/>
          <w:sz w:val="24"/>
          <w:szCs w:val="24"/>
          <w:vertAlign w:val="superscript"/>
        </w:rPr>
        <w:t>[54]</w:t>
      </w:r>
      <w:r>
        <w:rPr>
          <w:rFonts w:ascii="Arial" w:hAnsi="Arial"/>
          <w:sz w:val="24"/>
          <w:szCs w:val="24"/>
          <w:lang w:val="en-US"/>
        </w:rPr>
        <w:t xml:space="preserve"> </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Only six articles made specific reference to salary, working conditions, and migration as factors influencing size of the acute care workforce.</w:t>
      </w:r>
      <w:r>
        <w:rPr>
          <w:rFonts w:ascii="Arial" w:hAnsi="Arial"/>
          <w:sz w:val="24"/>
          <w:szCs w:val="24"/>
          <w:vertAlign w:val="superscript"/>
        </w:rPr>
        <w:t>[15][27][35][54][55][56]</w:t>
      </w:r>
      <w:r>
        <w:rPr>
          <w:rFonts w:ascii="Arial" w:hAnsi="Arial"/>
          <w:sz w:val="24"/>
          <w:szCs w:val="24"/>
          <w:lang w:val="en-US"/>
        </w:rPr>
        <w:t xml:space="preserve"> In Sierra Leone, ‘poor working conditions, ‘professional isolation’ and ‘low salaries’ were considered to hamper acute surgical care provision. Both ‘fatalism’ and ‘low morale’ were observed amongst staff in Tanzania. Outside of Subsaharan Africa, workforces in Afghanistan, Mongolia, and the United Kingdom also reported low motivation. Otherwise, however, articles rarely addressed levels of motivation or the impact of migration on this subset of the workforce.</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Heading2"/>
        <w:spacing w:line="480" w:lineRule="auto"/>
        <w:jc w:val="both"/>
        <w:rPr>
          <w:rFonts w:ascii="Arial" w:eastAsia="Arial" w:hAnsi="Arial" w:cs="Arial"/>
          <w:b w:val="0"/>
          <w:bCs w:val="0"/>
          <w:sz w:val="24"/>
          <w:szCs w:val="24"/>
          <w:u w:val="single"/>
        </w:rPr>
      </w:pPr>
      <w:r>
        <w:rPr>
          <w:rFonts w:ascii="Arial" w:hAnsi="Arial"/>
          <w:b w:val="0"/>
          <w:bCs w:val="0"/>
          <w:sz w:val="24"/>
          <w:szCs w:val="24"/>
          <w:u w:val="single"/>
        </w:rPr>
        <w:t>Workload</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There is no internationally agreed ratio of staff to patients across different tiers of acute facilities.</w:t>
      </w:r>
      <w:r>
        <w:rPr>
          <w:rFonts w:ascii="Arial" w:hAnsi="Arial"/>
          <w:sz w:val="24"/>
          <w:szCs w:val="24"/>
          <w:vertAlign w:val="superscript"/>
          <w:lang w:val="en-US"/>
        </w:rPr>
        <w:t xml:space="preserve">[54] </w:t>
      </w:r>
      <w:r>
        <w:rPr>
          <w:rFonts w:ascii="Arial" w:hAnsi="Arial"/>
          <w:sz w:val="24"/>
          <w:szCs w:val="24"/>
          <w:lang w:val="en-US"/>
        </w:rPr>
        <w:t xml:space="preserve">Despite this, difficulties </w:t>
      </w:r>
      <w:r w:rsidR="00672AC6">
        <w:rPr>
          <w:rFonts w:ascii="Arial" w:hAnsi="Arial"/>
          <w:sz w:val="24"/>
          <w:szCs w:val="24"/>
          <w:lang w:val="en-US"/>
        </w:rPr>
        <w:t>center</w:t>
      </w:r>
      <w:r>
        <w:rPr>
          <w:rFonts w:ascii="Arial" w:hAnsi="Arial"/>
          <w:sz w:val="24"/>
          <w:szCs w:val="24"/>
          <w:lang w:val="en-US"/>
        </w:rPr>
        <w:t xml:space="preserve"> around an inability to achieve local standards for 24-7 coverage. The infancy of training programmes has been perceived to contribute to this gap, although not always.</w:t>
      </w:r>
      <w:r>
        <w:rPr>
          <w:rFonts w:ascii="Arial" w:hAnsi="Arial"/>
          <w:sz w:val="24"/>
          <w:szCs w:val="24"/>
          <w:vertAlign w:val="superscript"/>
        </w:rPr>
        <w:t>[40][48][57]</w:t>
      </w:r>
      <w:r>
        <w:rPr>
          <w:rFonts w:ascii="Arial" w:hAnsi="Arial"/>
          <w:sz w:val="24"/>
          <w:szCs w:val="24"/>
          <w:lang w:val="en-US"/>
        </w:rPr>
        <w:t xml:space="preserve"> Authors in Denmark, Dubai and Singapore reported, positively, that services were adequately structured and staffed to meet local workload. Conversely, staff in Beijing perceived that emergency departments (ED) were running at under-capacity. The authors attributed this to patient misunderstanding of the function of these services.</w:t>
      </w:r>
      <w:r>
        <w:rPr>
          <w:rFonts w:ascii="Arial" w:hAnsi="Arial"/>
          <w:sz w:val="24"/>
          <w:szCs w:val="24"/>
          <w:vertAlign w:val="superscript"/>
          <w:lang w:val="pt-PT"/>
        </w:rPr>
        <w:t>[22]</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lastRenderedPageBreak/>
        <w:t>There is relatively better understanding regarding adequate requirements</w:t>
      </w:r>
      <w:r w:rsidR="000447B2">
        <w:rPr>
          <w:rFonts w:ascii="Arial" w:hAnsi="Arial"/>
          <w:sz w:val="24"/>
          <w:szCs w:val="24"/>
          <w:lang w:val="en-US"/>
        </w:rPr>
        <w:t xml:space="preserve"> </w:t>
      </w:r>
      <w:r>
        <w:rPr>
          <w:rFonts w:ascii="Arial" w:hAnsi="Arial"/>
          <w:sz w:val="24"/>
          <w:szCs w:val="24"/>
          <w:lang w:val="en-US"/>
        </w:rPr>
        <w:t>of</w:t>
      </w:r>
      <w:r w:rsidR="000447B2">
        <w:rPr>
          <w:rFonts w:ascii="Arial" w:hAnsi="Arial"/>
          <w:sz w:val="24"/>
          <w:szCs w:val="24"/>
          <w:lang w:val="en-US"/>
        </w:rPr>
        <w:t xml:space="preserve"> trained emergency personnel in </w:t>
      </w:r>
      <w:r>
        <w:rPr>
          <w:rFonts w:ascii="Arial" w:hAnsi="Arial"/>
          <w:sz w:val="24"/>
          <w:szCs w:val="24"/>
          <w:lang w:val="en-US"/>
        </w:rPr>
        <w:t xml:space="preserve">surgical </w:t>
      </w:r>
      <w:r w:rsidR="000447B2">
        <w:rPr>
          <w:rFonts w:ascii="Arial" w:hAnsi="Arial"/>
          <w:sz w:val="24"/>
          <w:szCs w:val="24"/>
          <w:lang w:val="en-US"/>
        </w:rPr>
        <w:t xml:space="preserve">areas </w:t>
      </w:r>
      <w:r>
        <w:rPr>
          <w:rFonts w:ascii="Arial" w:hAnsi="Arial"/>
          <w:sz w:val="24"/>
          <w:szCs w:val="24"/>
          <w:lang w:val="en-US"/>
        </w:rPr>
        <w:t>as demonstrated by studies employing the Situational Analysis Tool developed by the WHO programme for Essential Emergency Care and Surgery. Shortages of anaesthetists, amongst other surgical personnel, were quantified and reported in Bangladesh, Afghanistan, Malawi, Nicaragua, the Gambia, Kenya, Tanzania, Rwanda, and Cameroon.</w:t>
      </w:r>
      <w:r>
        <w:rPr>
          <w:rFonts w:ascii="Arial" w:hAnsi="Arial"/>
          <w:sz w:val="24"/>
          <w:szCs w:val="24"/>
          <w:vertAlign w:val="superscript"/>
        </w:rPr>
        <w:t>[16][33]</w:t>
      </w:r>
      <w:r>
        <w:rPr>
          <w:rFonts w:ascii="Arial" w:hAnsi="Arial"/>
          <w:sz w:val="24"/>
          <w:szCs w:val="24"/>
          <w:vertAlign w:val="superscript"/>
          <w:lang w:val="en-US"/>
        </w:rPr>
        <w:t>[50–53][58–61]</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Regional-level distribution of personnel and resources influences workload. Primary care also plays a role in offsetting additional pressures on these services, which has been demonstrated successfully in Denmark.</w:t>
      </w:r>
      <w:r>
        <w:rPr>
          <w:rFonts w:ascii="Arial" w:hAnsi="Arial"/>
          <w:sz w:val="24"/>
          <w:szCs w:val="24"/>
          <w:vertAlign w:val="superscript"/>
        </w:rPr>
        <w:t>[40][46]</w:t>
      </w:r>
      <w:r>
        <w:rPr>
          <w:rFonts w:ascii="Arial" w:hAnsi="Arial"/>
          <w:sz w:val="24"/>
          <w:szCs w:val="24"/>
          <w:lang w:val="en-US"/>
        </w:rPr>
        <w:t xml:space="preserve"> At the secondary level, shortages of other specialists can restrict systems’ abilities to treat a complete range of emergencies, such as oncological, dental, ophthalmological or psychiatric emergencies.</w:t>
      </w:r>
      <w:r>
        <w:rPr>
          <w:rFonts w:ascii="Arial" w:hAnsi="Arial"/>
          <w:sz w:val="24"/>
          <w:szCs w:val="24"/>
          <w:vertAlign w:val="superscript"/>
        </w:rPr>
        <w:t>[37]</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Heading2"/>
        <w:spacing w:line="480" w:lineRule="auto"/>
        <w:jc w:val="both"/>
        <w:rPr>
          <w:rFonts w:ascii="Arial" w:eastAsia="Arial" w:hAnsi="Arial" w:cs="Arial"/>
          <w:b w:val="0"/>
          <w:bCs w:val="0"/>
          <w:sz w:val="24"/>
          <w:szCs w:val="24"/>
          <w:u w:val="single"/>
        </w:rPr>
      </w:pPr>
      <w:r>
        <w:rPr>
          <w:rFonts w:ascii="Arial" w:hAnsi="Arial"/>
          <w:b w:val="0"/>
          <w:bCs w:val="0"/>
          <w:sz w:val="24"/>
          <w:szCs w:val="24"/>
          <w:u w:val="single"/>
        </w:rPr>
        <w:t>Supervisory capacity</w:t>
      </w:r>
    </w:p>
    <w:p w:rsidR="00CF084F" w:rsidRDefault="00CF084F" w:rsidP="00DA7D43">
      <w:pPr>
        <w:pStyle w:val="Body"/>
        <w:spacing w:line="480" w:lineRule="auto"/>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 xml:space="preserve">The lack of presence of and supervision by trained, senior personnel was a recurrent theme reported across </w:t>
      </w:r>
      <w:r w:rsidR="00DE3979">
        <w:rPr>
          <w:rFonts w:ascii="Arial" w:hAnsi="Arial"/>
          <w:sz w:val="24"/>
          <w:szCs w:val="24"/>
          <w:lang w:val="en-US"/>
        </w:rPr>
        <w:t>Sub-Saharan</w:t>
      </w:r>
      <w:r>
        <w:rPr>
          <w:rFonts w:ascii="Arial" w:hAnsi="Arial"/>
          <w:sz w:val="24"/>
          <w:szCs w:val="24"/>
          <w:lang w:val="en-US"/>
        </w:rPr>
        <w:t xml:space="preserve"> Africa, across Europe in Switzerland, Spain, and the Netherlands, and in the Caribbean in Haiti and Jamaica.</w:t>
      </w:r>
      <w:r>
        <w:rPr>
          <w:rFonts w:ascii="Arial" w:hAnsi="Arial"/>
          <w:sz w:val="24"/>
          <w:szCs w:val="24"/>
          <w:vertAlign w:val="superscript"/>
          <w:lang w:val="en-US"/>
        </w:rPr>
        <w:t>[54]</w:t>
      </w:r>
      <w:r>
        <w:rPr>
          <w:rFonts w:ascii="Arial" w:hAnsi="Arial"/>
          <w:sz w:val="24"/>
          <w:szCs w:val="24"/>
          <w:vertAlign w:val="superscript"/>
        </w:rPr>
        <w:t>[34][42][46][50][62]</w:t>
      </w:r>
      <w:r>
        <w:rPr>
          <w:rFonts w:ascii="Arial" w:hAnsi="Arial"/>
          <w:sz w:val="24"/>
          <w:szCs w:val="24"/>
          <w:lang w:val="en-US"/>
        </w:rPr>
        <w:t xml:space="preserve"> Gaps in or a lack of acute care protocols were widely reported across </w:t>
      </w:r>
      <w:r w:rsidR="00DE3979">
        <w:rPr>
          <w:rFonts w:ascii="Arial" w:hAnsi="Arial"/>
          <w:sz w:val="24"/>
          <w:szCs w:val="24"/>
          <w:lang w:val="en-US"/>
        </w:rPr>
        <w:t>Sub-Saharan</w:t>
      </w:r>
      <w:r>
        <w:rPr>
          <w:rFonts w:ascii="Arial" w:hAnsi="Arial"/>
          <w:sz w:val="24"/>
          <w:szCs w:val="24"/>
          <w:lang w:val="en-US"/>
        </w:rPr>
        <w:t xml:space="preserve"> Africa, whilst weak prehospital systems and absence of prehospital intervention protocols were observed globally.</w:t>
      </w:r>
      <w:r>
        <w:rPr>
          <w:rFonts w:ascii="Arial" w:hAnsi="Arial"/>
          <w:sz w:val="24"/>
          <w:szCs w:val="24"/>
          <w:vertAlign w:val="superscript"/>
        </w:rPr>
        <w:t>[18][27][30][32][39][50][52][53][59][62]</w:t>
      </w:r>
      <w:r>
        <w:rPr>
          <w:rFonts w:ascii="Arial" w:hAnsi="Arial"/>
          <w:sz w:val="24"/>
          <w:szCs w:val="24"/>
          <w:lang w:val="en-US"/>
        </w:rPr>
        <w:t xml:space="preserve"> In Ghana, service developments described included improving senior presence and introducing formal handovers, didactic sessions and clinical guidelines.</w:t>
      </w:r>
      <w:r>
        <w:rPr>
          <w:rFonts w:ascii="Arial" w:hAnsi="Arial"/>
          <w:sz w:val="24"/>
          <w:szCs w:val="24"/>
          <w:vertAlign w:val="superscript"/>
        </w:rPr>
        <w:t>[44]</w:t>
      </w:r>
    </w:p>
    <w:p w:rsidR="00CF084F" w:rsidRDefault="00CF084F" w:rsidP="00DA7D43">
      <w:pPr>
        <w:pStyle w:val="Body"/>
        <w:spacing w:line="480" w:lineRule="auto"/>
        <w:jc w:val="both"/>
        <w:rPr>
          <w:rFonts w:ascii="Arial" w:eastAsia="Arial" w:hAnsi="Arial" w:cs="Arial"/>
          <w:b/>
          <w:bCs/>
          <w:sz w:val="24"/>
          <w:szCs w:val="24"/>
          <w:u w:val="single"/>
        </w:rPr>
      </w:pPr>
    </w:p>
    <w:p w:rsidR="00775106" w:rsidRDefault="00775106" w:rsidP="00DA7D43">
      <w:pPr>
        <w:pStyle w:val="Body"/>
        <w:spacing w:line="480" w:lineRule="auto"/>
        <w:jc w:val="both"/>
        <w:rPr>
          <w:rFonts w:ascii="Arial" w:eastAsia="Arial" w:hAnsi="Arial" w:cs="Arial"/>
          <w:b/>
          <w:bCs/>
          <w:sz w:val="24"/>
          <w:szCs w:val="24"/>
          <w:u w:val="single"/>
        </w:rPr>
      </w:pPr>
    </w:p>
    <w:p w:rsidR="00CF084F" w:rsidRDefault="00346DCB" w:rsidP="00DA7D43">
      <w:pPr>
        <w:pStyle w:val="Heading2"/>
        <w:spacing w:line="480" w:lineRule="auto"/>
        <w:jc w:val="both"/>
        <w:rPr>
          <w:rFonts w:ascii="Arial" w:eastAsia="Arial" w:hAnsi="Arial" w:cs="Arial"/>
          <w:b w:val="0"/>
          <w:bCs w:val="0"/>
          <w:sz w:val="24"/>
          <w:szCs w:val="24"/>
          <w:u w:val="single"/>
        </w:rPr>
      </w:pPr>
      <w:r>
        <w:rPr>
          <w:rFonts w:ascii="Arial" w:hAnsi="Arial"/>
          <w:b w:val="0"/>
          <w:bCs w:val="0"/>
          <w:sz w:val="24"/>
          <w:szCs w:val="24"/>
          <w:u w:val="single"/>
        </w:rPr>
        <w:lastRenderedPageBreak/>
        <w:t>Role</w:t>
      </w:r>
    </w:p>
    <w:p w:rsidR="00CF084F" w:rsidRDefault="00CF084F" w:rsidP="00DA7D43">
      <w:pPr>
        <w:pStyle w:val="Body"/>
        <w:spacing w:line="480" w:lineRule="auto"/>
        <w:jc w:val="both"/>
        <w:rPr>
          <w:rFonts w:ascii="Arial" w:eastAsia="Arial" w:hAnsi="Arial" w:cs="Arial"/>
          <w:sz w:val="24"/>
          <w:szCs w:val="24"/>
        </w:rPr>
      </w:pPr>
    </w:p>
    <w:p w:rsidR="00CF084F" w:rsidRDefault="000447B2" w:rsidP="00DA7D43">
      <w:pPr>
        <w:pStyle w:val="Body"/>
        <w:spacing w:line="480" w:lineRule="auto"/>
        <w:jc w:val="both"/>
        <w:rPr>
          <w:rFonts w:ascii="Arial" w:eastAsia="Arial" w:hAnsi="Arial" w:cs="Arial"/>
          <w:sz w:val="24"/>
          <w:szCs w:val="24"/>
        </w:rPr>
      </w:pPr>
      <w:r>
        <w:rPr>
          <w:rFonts w:ascii="Arial" w:hAnsi="Arial"/>
          <w:sz w:val="24"/>
          <w:szCs w:val="24"/>
          <w:lang w:val="en-US"/>
        </w:rPr>
        <w:t>Only one article</w:t>
      </w:r>
      <w:r w:rsidR="00346DCB">
        <w:rPr>
          <w:rFonts w:ascii="Arial" w:hAnsi="Arial"/>
          <w:sz w:val="24"/>
          <w:szCs w:val="24"/>
          <w:lang w:val="en-US"/>
        </w:rPr>
        <w:t xml:space="preserve"> described administrative processes concerning organisation of personnel. A case report from Turkey described an unstructured system of shift organisation driven by surgical personnel</w:t>
      </w:r>
      <w:r>
        <w:rPr>
          <w:rFonts w:ascii="Arial" w:hAnsi="Arial"/>
          <w:sz w:val="24"/>
          <w:szCs w:val="24"/>
          <w:lang w:val="en-US"/>
        </w:rPr>
        <w:t>,</w:t>
      </w:r>
      <w:r w:rsidR="00346DCB">
        <w:rPr>
          <w:rFonts w:ascii="Arial" w:hAnsi="Arial"/>
          <w:sz w:val="24"/>
          <w:szCs w:val="24"/>
          <w:lang w:val="en-US"/>
        </w:rPr>
        <w:t xml:space="preserve"> and </w:t>
      </w:r>
      <w:r>
        <w:rPr>
          <w:rFonts w:ascii="Arial" w:hAnsi="Arial"/>
          <w:sz w:val="24"/>
          <w:szCs w:val="24"/>
          <w:lang w:val="en-US"/>
        </w:rPr>
        <w:t>staffing</w:t>
      </w:r>
      <w:r w:rsidR="00346DCB">
        <w:rPr>
          <w:rFonts w:ascii="Arial" w:hAnsi="Arial"/>
          <w:sz w:val="24"/>
          <w:szCs w:val="24"/>
          <w:lang w:val="en-US"/>
        </w:rPr>
        <w:t xml:space="preserve"> </w:t>
      </w:r>
      <w:r>
        <w:rPr>
          <w:rFonts w:ascii="Arial" w:hAnsi="Arial"/>
          <w:sz w:val="24"/>
          <w:szCs w:val="24"/>
          <w:lang w:val="en-US"/>
        </w:rPr>
        <w:t>of departments by</w:t>
      </w:r>
      <w:r w:rsidR="00346DCB">
        <w:rPr>
          <w:rFonts w:ascii="Arial" w:hAnsi="Arial"/>
          <w:sz w:val="24"/>
          <w:szCs w:val="24"/>
          <w:lang w:val="en-US"/>
        </w:rPr>
        <w:t xml:space="preserve"> a mix of specialties outside of emergency medicine.</w:t>
      </w:r>
      <w:r w:rsidR="00346DCB">
        <w:rPr>
          <w:rFonts w:ascii="Arial" w:hAnsi="Arial"/>
          <w:sz w:val="24"/>
          <w:szCs w:val="24"/>
          <w:vertAlign w:val="superscript"/>
        </w:rPr>
        <w:t>[21]</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Heading2"/>
        <w:spacing w:line="480" w:lineRule="auto"/>
        <w:jc w:val="both"/>
        <w:rPr>
          <w:rFonts w:ascii="Arial" w:eastAsia="Arial" w:hAnsi="Arial" w:cs="Arial"/>
          <w:b w:val="0"/>
          <w:bCs w:val="0"/>
          <w:sz w:val="24"/>
          <w:szCs w:val="24"/>
          <w:u w:val="single"/>
        </w:rPr>
      </w:pPr>
      <w:r>
        <w:rPr>
          <w:rFonts w:ascii="Arial" w:hAnsi="Arial"/>
          <w:b w:val="0"/>
          <w:bCs w:val="0"/>
          <w:sz w:val="24"/>
          <w:szCs w:val="24"/>
          <w:u w:val="single"/>
        </w:rPr>
        <w:t>Performance and support services</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Developing countries systematically face barriers to obtaining equipment and medications.</w:t>
      </w:r>
      <w:r>
        <w:rPr>
          <w:rFonts w:ascii="Arial" w:hAnsi="Arial"/>
          <w:sz w:val="24"/>
          <w:szCs w:val="24"/>
          <w:vertAlign w:val="superscript"/>
        </w:rPr>
        <w:t>[63]</w:t>
      </w:r>
      <w:r>
        <w:rPr>
          <w:rFonts w:ascii="Arial" w:hAnsi="Arial"/>
          <w:sz w:val="24"/>
          <w:szCs w:val="24"/>
        </w:rPr>
        <w:t xml:space="preserve"> </w:t>
      </w:r>
      <w:r>
        <w:rPr>
          <w:rFonts w:ascii="Arial" w:hAnsi="Arial"/>
          <w:sz w:val="24"/>
          <w:szCs w:val="24"/>
          <w:lang w:val="en-US"/>
        </w:rPr>
        <w:t xml:space="preserve">Shortages of supplies were almost universally encountered across Asia and </w:t>
      </w:r>
      <w:r w:rsidR="00DE3979">
        <w:rPr>
          <w:rFonts w:ascii="Arial" w:hAnsi="Arial"/>
          <w:sz w:val="24"/>
          <w:szCs w:val="24"/>
          <w:lang w:val="en-US"/>
        </w:rPr>
        <w:t>Sub-Saharan</w:t>
      </w:r>
      <w:r>
        <w:rPr>
          <w:rFonts w:ascii="Arial" w:hAnsi="Arial"/>
          <w:sz w:val="24"/>
          <w:szCs w:val="24"/>
          <w:lang w:val="en-US"/>
        </w:rPr>
        <w:t xml:space="preserve"> Africa, as well as in Papua New Guinea, Colombia, Haiti and Slovenia.</w:t>
      </w:r>
      <w:r>
        <w:rPr>
          <w:rFonts w:ascii="Arial" w:hAnsi="Arial"/>
          <w:sz w:val="24"/>
          <w:szCs w:val="24"/>
          <w:vertAlign w:val="superscript"/>
          <w:lang w:val="en-US"/>
        </w:rPr>
        <w:t>[14–16]</w:t>
      </w:r>
      <w:r>
        <w:rPr>
          <w:rFonts w:ascii="Arial" w:hAnsi="Arial"/>
          <w:sz w:val="24"/>
          <w:szCs w:val="24"/>
          <w:vertAlign w:val="superscript"/>
        </w:rPr>
        <w:t>[19][20][27][28][30][31][33][35]</w:t>
      </w:r>
      <w:r>
        <w:rPr>
          <w:rFonts w:ascii="Arial" w:hAnsi="Arial"/>
          <w:sz w:val="24"/>
          <w:szCs w:val="24"/>
          <w:vertAlign w:val="superscript"/>
          <w:lang w:val="en-US"/>
        </w:rPr>
        <w:t>[37–39]</w:t>
      </w:r>
      <w:r>
        <w:rPr>
          <w:rFonts w:ascii="Arial" w:hAnsi="Arial"/>
          <w:sz w:val="24"/>
          <w:szCs w:val="24"/>
          <w:vertAlign w:val="superscript"/>
        </w:rPr>
        <w:t>[43][50]</w:t>
      </w:r>
      <w:r>
        <w:rPr>
          <w:rFonts w:ascii="Arial" w:hAnsi="Arial"/>
          <w:sz w:val="24"/>
          <w:szCs w:val="24"/>
          <w:vertAlign w:val="superscript"/>
          <w:lang w:val="en-US"/>
        </w:rPr>
        <w:t>[51–53]</w:t>
      </w:r>
      <w:r>
        <w:rPr>
          <w:rFonts w:ascii="Arial" w:hAnsi="Arial"/>
          <w:sz w:val="24"/>
          <w:szCs w:val="24"/>
          <w:vertAlign w:val="superscript"/>
        </w:rPr>
        <w:t>[55]</w:t>
      </w:r>
      <w:r>
        <w:rPr>
          <w:rFonts w:ascii="Arial" w:hAnsi="Arial"/>
          <w:sz w:val="24"/>
          <w:szCs w:val="24"/>
          <w:vertAlign w:val="superscript"/>
          <w:lang w:val="en-US"/>
        </w:rPr>
        <w:t>[58–60][62]</w:t>
      </w:r>
      <w:r>
        <w:rPr>
          <w:rFonts w:ascii="Arial" w:hAnsi="Arial"/>
          <w:sz w:val="24"/>
          <w:szCs w:val="24"/>
          <w:vertAlign w:val="superscript"/>
        </w:rPr>
        <w:t>[64][65]</w:t>
      </w:r>
      <w:r>
        <w:rPr>
          <w:rFonts w:ascii="Arial" w:hAnsi="Arial"/>
          <w:sz w:val="24"/>
          <w:szCs w:val="24"/>
          <w:vertAlign w:val="superscript"/>
          <w:lang w:val="en-US"/>
        </w:rPr>
        <w:t xml:space="preserve"> </w:t>
      </w:r>
      <w:r>
        <w:rPr>
          <w:rFonts w:ascii="Arial" w:hAnsi="Arial"/>
          <w:sz w:val="24"/>
          <w:szCs w:val="24"/>
          <w:lang w:val="en-US"/>
        </w:rPr>
        <w:t>These were quantified based on lists of supplies deemed essential, including</w:t>
      </w:r>
      <w:r>
        <w:rPr>
          <w:rFonts w:ascii="Arial" w:hAnsi="Arial"/>
          <w:sz w:val="24"/>
          <w:szCs w:val="24"/>
        </w:rPr>
        <w:t xml:space="preserve"> </w:t>
      </w:r>
      <w:r>
        <w:rPr>
          <w:rFonts w:ascii="Arial" w:hAnsi="Arial"/>
          <w:sz w:val="24"/>
          <w:szCs w:val="24"/>
          <w:lang w:val="en-US"/>
        </w:rPr>
        <w:t xml:space="preserve">items such as pulse oximeters, IV fluids, essential medications, and </w:t>
      </w:r>
      <w:r>
        <w:rPr>
          <w:rFonts w:ascii="Arial" w:hAnsi="Arial"/>
          <w:sz w:val="24"/>
          <w:szCs w:val="24"/>
        </w:rPr>
        <w:t xml:space="preserve">anaesthesia machines. </w:t>
      </w:r>
      <w:r>
        <w:rPr>
          <w:rFonts w:ascii="Arial" w:hAnsi="Arial"/>
          <w:sz w:val="24"/>
          <w:szCs w:val="24"/>
          <w:lang w:val="en-US"/>
        </w:rPr>
        <w:t>Shortages were not always</w:t>
      </w:r>
      <w:r>
        <w:rPr>
          <w:rFonts w:ascii="Arial" w:hAnsi="Arial"/>
          <w:sz w:val="24"/>
          <w:szCs w:val="24"/>
          <w:lang w:val="it-IT"/>
        </w:rPr>
        <w:t xml:space="preserve"> uniform. </w:t>
      </w:r>
      <w:r>
        <w:rPr>
          <w:rFonts w:ascii="Arial" w:hAnsi="Arial"/>
          <w:sz w:val="24"/>
          <w:szCs w:val="24"/>
          <w:lang w:val="en-US"/>
        </w:rPr>
        <w:t>For example, in the Solomon Islands, good access was available to anti-tubercul</w:t>
      </w:r>
      <w:r w:rsidR="00DE3979">
        <w:rPr>
          <w:rFonts w:ascii="Arial" w:hAnsi="Arial"/>
          <w:sz w:val="24"/>
          <w:szCs w:val="24"/>
          <w:lang w:val="en-US"/>
        </w:rPr>
        <w:t>ar</w:t>
      </w:r>
      <w:r>
        <w:rPr>
          <w:rFonts w:ascii="Arial" w:hAnsi="Arial"/>
          <w:sz w:val="24"/>
          <w:szCs w:val="24"/>
          <w:lang w:val="en-US"/>
        </w:rPr>
        <w:t xml:space="preserve"> and anti-malarial medications, </w:t>
      </w:r>
      <w:r w:rsidR="00DE3979">
        <w:rPr>
          <w:rFonts w:ascii="Arial" w:hAnsi="Arial"/>
          <w:sz w:val="24"/>
          <w:szCs w:val="24"/>
          <w:lang w:val="en-US"/>
        </w:rPr>
        <w:t>when</w:t>
      </w:r>
      <w:r>
        <w:rPr>
          <w:rFonts w:ascii="Arial" w:hAnsi="Arial"/>
          <w:sz w:val="24"/>
          <w:szCs w:val="24"/>
          <w:lang w:val="en-US"/>
        </w:rPr>
        <w:t xml:space="preserve"> blood products and broad-spectrum antibiotics were unavailable.</w:t>
      </w:r>
      <w:r>
        <w:rPr>
          <w:rFonts w:ascii="Arial" w:hAnsi="Arial"/>
          <w:sz w:val="24"/>
          <w:szCs w:val="24"/>
          <w:vertAlign w:val="superscript"/>
        </w:rPr>
        <w:t>[36]</w:t>
      </w:r>
    </w:p>
    <w:p w:rsidR="00CF084F" w:rsidRDefault="00CF084F" w:rsidP="00DA7D43">
      <w:pPr>
        <w:pStyle w:val="Body"/>
        <w:spacing w:line="480" w:lineRule="auto"/>
        <w:jc w:val="both"/>
        <w:rPr>
          <w:rFonts w:ascii="Arial" w:eastAsia="Arial" w:hAnsi="Arial" w:cs="Arial"/>
          <w:sz w:val="24"/>
          <w:szCs w:val="24"/>
        </w:rPr>
      </w:pPr>
    </w:p>
    <w:p w:rsidR="00CF084F" w:rsidRDefault="00DE3979" w:rsidP="00DA7D43">
      <w:pPr>
        <w:pStyle w:val="Body"/>
        <w:spacing w:line="480" w:lineRule="auto"/>
        <w:jc w:val="both"/>
        <w:rPr>
          <w:rFonts w:ascii="Arial" w:eastAsia="Arial" w:hAnsi="Arial" w:cs="Arial"/>
          <w:sz w:val="24"/>
          <w:szCs w:val="24"/>
        </w:rPr>
      </w:pPr>
      <w:r>
        <w:rPr>
          <w:rFonts w:ascii="Arial" w:hAnsi="Arial"/>
          <w:sz w:val="24"/>
          <w:szCs w:val="24"/>
          <w:lang w:val="en-US"/>
        </w:rPr>
        <w:t>Apparent resource asymmetries</w:t>
      </w:r>
      <w:r w:rsidR="00346DCB">
        <w:rPr>
          <w:rFonts w:ascii="Arial" w:hAnsi="Arial"/>
          <w:sz w:val="24"/>
          <w:szCs w:val="24"/>
          <w:lang w:val="en-US"/>
        </w:rPr>
        <w:t xml:space="preserve"> also exist. For example, in Tanzania, good access to laboratory and transfusion facilities was not complemented by formal triaging systems and guidelines.</w:t>
      </w:r>
      <w:r w:rsidR="00346DCB">
        <w:rPr>
          <w:rFonts w:ascii="Arial" w:hAnsi="Arial"/>
          <w:sz w:val="24"/>
          <w:szCs w:val="24"/>
          <w:vertAlign w:val="superscript"/>
        </w:rPr>
        <w:t>[30]</w:t>
      </w:r>
      <w:r w:rsidR="00346DCB">
        <w:rPr>
          <w:rFonts w:ascii="Arial" w:hAnsi="Arial"/>
          <w:sz w:val="24"/>
          <w:szCs w:val="24"/>
          <w:lang w:val="en-US"/>
        </w:rPr>
        <w:t xml:space="preserve"> Drugs and equipment could therefore be accessible in the absence of personnel for their effective use. </w:t>
      </w:r>
      <w:r w:rsidR="00535D66">
        <w:rPr>
          <w:rFonts w:ascii="Arial" w:hAnsi="Arial"/>
          <w:sz w:val="24"/>
          <w:szCs w:val="24"/>
          <w:lang w:val="en-US"/>
        </w:rPr>
        <w:t>Aside from</w:t>
      </w:r>
      <w:r w:rsidR="00346DCB">
        <w:rPr>
          <w:rFonts w:ascii="Arial" w:hAnsi="Arial"/>
          <w:sz w:val="24"/>
          <w:szCs w:val="24"/>
          <w:lang w:val="en-US"/>
        </w:rPr>
        <w:t xml:space="preserve"> healthcare workers, researchers in Mongolia identified </w:t>
      </w:r>
      <w:r w:rsidR="00535D66">
        <w:rPr>
          <w:rFonts w:ascii="Arial" w:hAnsi="Arial"/>
          <w:sz w:val="24"/>
          <w:szCs w:val="24"/>
          <w:lang w:val="en-US"/>
        </w:rPr>
        <w:t>a</w:t>
      </w:r>
      <w:r w:rsidR="00346DCB">
        <w:rPr>
          <w:rFonts w:ascii="Arial" w:hAnsi="Arial"/>
          <w:sz w:val="24"/>
          <w:szCs w:val="24"/>
          <w:lang w:val="en-US"/>
        </w:rPr>
        <w:t xml:space="preserve"> lack of technical personnel for maintenance of critical care equipment.</w:t>
      </w:r>
      <w:r w:rsidR="00346DCB">
        <w:rPr>
          <w:rFonts w:ascii="Arial" w:hAnsi="Arial"/>
          <w:sz w:val="24"/>
          <w:szCs w:val="24"/>
          <w:vertAlign w:val="superscript"/>
        </w:rPr>
        <w:t>[55]</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Regional maldistribution of these resources should be considered. Central hospitals typically report greater capacity to perform procedures and provide acute care.</w:t>
      </w:r>
      <w:r>
        <w:rPr>
          <w:rFonts w:ascii="Arial" w:hAnsi="Arial"/>
          <w:sz w:val="24"/>
          <w:szCs w:val="24"/>
          <w:vertAlign w:val="superscript"/>
        </w:rPr>
        <w:t>[19]</w:t>
      </w:r>
      <w:r>
        <w:rPr>
          <w:rFonts w:ascii="Arial" w:hAnsi="Arial"/>
          <w:sz w:val="24"/>
          <w:szCs w:val="24"/>
          <w:vertAlign w:val="superscript"/>
          <w:lang w:val="en-US"/>
        </w:rPr>
        <w:t>[52]</w:t>
      </w:r>
      <w:r>
        <w:rPr>
          <w:rFonts w:ascii="Arial" w:hAnsi="Arial"/>
          <w:sz w:val="24"/>
          <w:szCs w:val="24"/>
          <w:vertAlign w:val="superscript"/>
        </w:rPr>
        <w:t>[42][55][58][65]</w:t>
      </w:r>
      <w:r>
        <w:rPr>
          <w:rFonts w:ascii="Arial" w:hAnsi="Arial"/>
          <w:sz w:val="24"/>
          <w:szCs w:val="24"/>
          <w:lang w:val="en-US"/>
        </w:rPr>
        <w:t xml:space="preserve">  This </w:t>
      </w:r>
      <w:r>
        <w:rPr>
          <w:rFonts w:ascii="Arial" w:hAnsi="Arial"/>
          <w:sz w:val="24"/>
          <w:szCs w:val="24"/>
          <w:lang w:val="en-US"/>
        </w:rPr>
        <w:lastRenderedPageBreak/>
        <w:t>is perhaps not unexpected. Authors in Switzerland recognised that it was inefficient to locate resources where patient volume was low.</w:t>
      </w:r>
      <w:r>
        <w:rPr>
          <w:rFonts w:ascii="Arial" w:hAnsi="Arial"/>
          <w:sz w:val="24"/>
          <w:szCs w:val="24"/>
          <w:vertAlign w:val="superscript"/>
          <w:lang w:val="pt-PT"/>
        </w:rPr>
        <w:t>[42]</w:t>
      </w:r>
      <w:r>
        <w:rPr>
          <w:rFonts w:ascii="Arial" w:hAnsi="Arial"/>
          <w:sz w:val="24"/>
          <w:szCs w:val="24"/>
          <w:lang w:val="en-US"/>
        </w:rPr>
        <w:t xml:space="preserve"> Desirable</w:t>
      </w:r>
      <w:r w:rsidR="000447B2">
        <w:rPr>
          <w:rFonts w:ascii="Arial" w:hAnsi="Arial"/>
          <w:sz w:val="24"/>
          <w:szCs w:val="24"/>
          <w:lang w:val="en-US"/>
        </w:rPr>
        <w:t xml:space="preserve"> acute care</w:t>
      </w:r>
      <w:r>
        <w:rPr>
          <w:rFonts w:ascii="Arial" w:hAnsi="Arial"/>
          <w:sz w:val="24"/>
          <w:szCs w:val="24"/>
          <w:lang w:val="en-US"/>
        </w:rPr>
        <w:t xml:space="preserve"> facilities such as FAST scanning, dialysis, a catheter laboratory, or a stroke unit, were not always considered feasible to provide on-site.</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In addition, highly variable access to diagnostic facilities, including radiology, laboratory services, and even bedside tests such as urinalysis, were also reported.</w:t>
      </w:r>
      <w:r>
        <w:rPr>
          <w:rFonts w:ascii="Arial" w:hAnsi="Arial"/>
          <w:sz w:val="24"/>
          <w:szCs w:val="24"/>
          <w:vertAlign w:val="superscript"/>
        </w:rPr>
        <w:t>[30][35][37][60][65]</w:t>
      </w:r>
      <w:r>
        <w:rPr>
          <w:rFonts w:ascii="Arial" w:hAnsi="Arial"/>
          <w:sz w:val="24"/>
          <w:szCs w:val="24"/>
          <w:lang w:val="en-US"/>
        </w:rPr>
        <w:t xml:space="preserve"> Limited access to blood products were reported in Papua New Guinea, Colombia, Nicaragua, and Tanzania. However, this appeared to have also improved in many areas. Good availability of laboratory and technical services were reported in St. Vincent &amp; the Grenadines, Colombia, and in Beijing, China.</w:t>
      </w:r>
      <w:r>
        <w:rPr>
          <w:rFonts w:ascii="Arial" w:hAnsi="Arial"/>
          <w:sz w:val="24"/>
          <w:szCs w:val="24"/>
          <w:vertAlign w:val="superscript"/>
          <w:lang w:val="pt-PT"/>
        </w:rPr>
        <w:t>[22]</w:t>
      </w:r>
      <w:r>
        <w:rPr>
          <w:rFonts w:ascii="Arial" w:hAnsi="Arial"/>
          <w:sz w:val="24"/>
          <w:szCs w:val="24"/>
          <w:vertAlign w:val="superscript"/>
          <w:lang w:val="en-US"/>
        </w:rPr>
        <w:t>[55]</w:t>
      </w:r>
      <w:r>
        <w:rPr>
          <w:rFonts w:ascii="Arial" w:hAnsi="Arial"/>
          <w:sz w:val="24"/>
          <w:szCs w:val="24"/>
          <w:vertAlign w:val="superscript"/>
        </w:rPr>
        <w:t>[37]</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Heading2"/>
        <w:spacing w:line="480" w:lineRule="auto"/>
        <w:jc w:val="both"/>
        <w:rPr>
          <w:rFonts w:ascii="Arial" w:eastAsia="Arial" w:hAnsi="Arial" w:cs="Arial"/>
          <w:b w:val="0"/>
          <w:bCs w:val="0"/>
          <w:sz w:val="24"/>
          <w:szCs w:val="24"/>
          <w:u w:val="single"/>
        </w:rPr>
      </w:pPr>
      <w:r>
        <w:rPr>
          <w:rFonts w:ascii="Arial" w:hAnsi="Arial"/>
          <w:b w:val="0"/>
          <w:bCs w:val="0"/>
          <w:sz w:val="24"/>
          <w:szCs w:val="24"/>
          <w:u w:val="single"/>
        </w:rPr>
        <w:t>Facility</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vertAlign w:val="superscript"/>
        </w:rPr>
      </w:pPr>
      <w:r>
        <w:rPr>
          <w:rFonts w:ascii="Arial" w:hAnsi="Arial"/>
          <w:sz w:val="24"/>
          <w:szCs w:val="24"/>
          <w:lang w:val="en-US"/>
        </w:rPr>
        <w:t>Infrastructural organisation and delivery of emergency care varies regionally and internationally. The Anglo-American model provides generalist care at the secondary level, whilst the Franco-German model installs physicians in the prehospital setting and segregates emergency care by specialty at the secondary level.</w:t>
      </w:r>
      <w:r>
        <w:rPr>
          <w:rFonts w:ascii="Arial" w:hAnsi="Arial"/>
          <w:sz w:val="24"/>
          <w:szCs w:val="24"/>
          <w:vertAlign w:val="superscript"/>
        </w:rPr>
        <w:t>[39][66]</w:t>
      </w:r>
      <w:r>
        <w:rPr>
          <w:rFonts w:ascii="Arial" w:hAnsi="Arial"/>
          <w:sz w:val="24"/>
          <w:szCs w:val="24"/>
        </w:rPr>
        <w:t xml:space="preserve"> </w:t>
      </w:r>
      <w:r>
        <w:rPr>
          <w:rFonts w:ascii="Arial" w:hAnsi="Arial"/>
          <w:sz w:val="24"/>
          <w:szCs w:val="24"/>
          <w:lang w:val="en-US"/>
        </w:rPr>
        <w:t>Countries have broadly adopted either model, which makes direct comparisons of these systems challenging. In addition, services are universally spread across multiple tiers, even where escalation and transfer guidelines are not well-defined. The U.K. has created additional infrastructure in the form of minor injury units and walk-in centres to remove pressure from secondary centres.</w:t>
      </w:r>
      <w:r>
        <w:rPr>
          <w:rFonts w:ascii="Arial" w:hAnsi="Arial"/>
          <w:sz w:val="24"/>
          <w:szCs w:val="24"/>
          <w:vertAlign w:val="superscript"/>
        </w:rPr>
        <w:t>[54]</w:t>
      </w:r>
    </w:p>
    <w:p w:rsidR="00CF084F" w:rsidRDefault="00CF084F" w:rsidP="00DA7D43">
      <w:pPr>
        <w:pStyle w:val="Body"/>
        <w:spacing w:line="480" w:lineRule="auto"/>
        <w:jc w:val="both"/>
        <w:rPr>
          <w:rFonts w:ascii="Arial" w:eastAsia="Arial" w:hAnsi="Arial" w:cs="Arial"/>
          <w:sz w:val="24"/>
          <w:szCs w:val="24"/>
        </w:rPr>
      </w:pPr>
      <w:bookmarkStart w:id="0" w:name="_GoBack"/>
      <w:bookmarkEnd w:id="0"/>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Many</w:t>
      </w:r>
      <w:r>
        <w:rPr>
          <w:rFonts w:ascii="Arial" w:hAnsi="Arial"/>
          <w:sz w:val="24"/>
          <w:szCs w:val="24"/>
        </w:rPr>
        <w:t xml:space="preserve"> </w:t>
      </w:r>
      <w:r>
        <w:rPr>
          <w:rFonts w:ascii="Arial" w:hAnsi="Arial"/>
          <w:sz w:val="24"/>
          <w:szCs w:val="24"/>
          <w:lang w:val="en-US"/>
        </w:rPr>
        <w:t xml:space="preserve">countries operate parallel public and private emergency care services. Quality gaps and marked discrepancies were </w:t>
      </w:r>
      <w:r>
        <w:rPr>
          <w:rFonts w:ascii="Arial" w:hAnsi="Arial"/>
          <w:sz w:val="24"/>
          <w:szCs w:val="24"/>
          <w:lang w:val="it-IT"/>
        </w:rPr>
        <w:t xml:space="preserve">observed between these systems in South Africa, </w:t>
      </w:r>
      <w:r>
        <w:rPr>
          <w:rFonts w:ascii="Arial" w:hAnsi="Arial"/>
          <w:sz w:val="24"/>
          <w:szCs w:val="24"/>
          <w:lang w:val="it-IT"/>
        </w:rPr>
        <w:lastRenderedPageBreak/>
        <w:t>Singapore, Dubai, India, Cameroon, Sierra Leone, and Tanzania.</w:t>
      </w:r>
      <w:r>
        <w:rPr>
          <w:rFonts w:ascii="Arial" w:hAnsi="Arial"/>
          <w:sz w:val="24"/>
          <w:szCs w:val="24"/>
          <w:vertAlign w:val="superscript"/>
        </w:rPr>
        <w:t>[14][17][27][30][34][48][57][59]</w:t>
      </w:r>
      <w:r>
        <w:rPr>
          <w:rFonts w:ascii="Arial" w:hAnsi="Arial"/>
          <w:sz w:val="24"/>
          <w:szCs w:val="24"/>
          <w:lang w:val="en-US"/>
        </w:rPr>
        <w:t xml:space="preserve"> In India and Afghanistan, military sector provision of acute services is often markedly different.</w:t>
      </w:r>
      <w:r>
        <w:rPr>
          <w:rFonts w:ascii="Arial" w:hAnsi="Arial"/>
          <w:sz w:val="24"/>
          <w:szCs w:val="24"/>
          <w:vertAlign w:val="superscript"/>
        </w:rPr>
        <w:t>[15][17]</w:t>
      </w:r>
      <w:r>
        <w:rPr>
          <w:rFonts w:ascii="Arial" w:hAnsi="Arial"/>
          <w:sz w:val="24"/>
          <w:szCs w:val="24"/>
          <w:vertAlign w:val="superscript"/>
          <w:lang w:val="en-US"/>
        </w:rPr>
        <w:t xml:space="preserve"> </w:t>
      </w:r>
      <w:r>
        <w:rPr>
          <w:rFonts w:ascii="Arial" w:hAnsi="Arial"/>
          <w:sz w:val="24"/>
          <w:szCs w:val="24"/>
          <w:lang w:val="en-US"/>
        </w:rPr>
        <w:t xml:space="preserve">However, figures regarding the distribution of human resources between these sectors were not provided. </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Underdeveloped prehospital facilities, untrained ambulance drivers and reliance on private transport were reported across South Asia, Subsaharan Africa, the Caribbean, and Europe in Albania and Germany.</w:t>
      </w:r>
      <w:r>
        <w:rPr>
          <w:rFonts w:ascii="Arial" w:hAnsi="Arial"/>
          <w:sz w:val="24"/>
          <w:szCs w:val="24"/>
          <w:vertAlign w:val="superscript"/>
        </w:rPr>
        <w:t>[15]</w:t>
      </w:r>
      <w:r>
        <w:rPr>
          <w:rFonts w:ascii="Arial" w:hAnsi="Arial"/>
          <w:sz w:val="24"/>
          <w:szCs w:val="24"/>
          <w:vertAlign w:val="superscript"/>
          <w:lang w:val="en-US"/>
        </w:rPr>
        <w:t>[46–49][55]</w:t>
      </w:r>
      <w:r>
        <w:rPr>
          <w:rFonts w:ascii="Arial" w:hAnsi="Arial"/>
          <w:sz w:val="24"/>
          <w:szCs w:val="24"/>
          <w:vertAlign w:val="superscript"/>
        </w:rPr>
        <w:t>[31][39][41][50][</w:t>
      </w:r>
      <w:r>
        <w:rPr>
          <w:rFonts w:ascii="Arial" w:hAnsi="Arial"/>
          <w:sz w:val="24"/>
          <w:szCs w:val="24"/>
          <w:vertAlign w:val="superscript"/>
          <w:lang w:val="en-US"/>
        </w:rPr>
        <w:t>64</w:t>
      </w:r>
      <w:r>
        <w:rPr>
          <w:rFonts w:ascii="Arial" w:hAnsi="Arial"/>
          <w:sz w:val="24"/>
          <w:szCs w:val="24"/>
          <w:vertAlign w:val="superscript"/>
        </w:rPr>
        <w:t>][6</w:t>
      </w:r>
      <w:r>
        <w:rPr>
          <w:rFonts w:ascii="Arial" w:hAnsi="Arial"/>
          <w:sz w:val="24"/>
          <w:szCs w:val="24"/>
          <w:vertAlign w:val="superscript"/>
          <w:lang w:val="en-US"/>
        </w:rPr>
        <w:t>7</w:t>
      </w:r>
      <w:r>
        <w:rPr>
          <w:rFonts w:ascii="Arial" w:hAnsi="Arial"/>
          <w:sz w:val="24"/>
          <w:szCs w:val="24"/>
          <w:vertAlign w:val="superscript"/>
        </w:rPr>
        <w:t>][68]</w:t>
      </w:r>
      <w:r>
        <w:rPr>
          <w:rFonts w:ascii="Arial" w:hAnsi="Arial"/>
          <w:sz w:val="24"/>
          <w:szCs w:val="24"/>
          <w:lang w:val="en-US"/>
        </w:rPr>
        <w:t xml:space="preserve"> In the hospital setting, some studies highlighted the presence of dedicated assessment areas and even operating rooms. These are all integral to the flow of acute care, as inefficiencies lead to overcrowding of EDs, hampering care provision.</w:t>
      </w:r>
      <w:r>
        <w:rPr>
          <w:rFonts w:ascii="Arial" w:hAnsi="Arial"/>
          <w:sz w:val="24"/>
          <w:szCs w:val="24"/>
          <w:vertAlign w:val="superscript"/>
        </w:rPr>
        <w:t>[15][18]</w:t>
      </w:r>
      <w:r>
        <w:rPr>
          <w:rFonts w:ascii="Arial" w:hAnsi="Arial"/>
          <w:sz w:val="24"/>
          <w:szCs w:val="24"/>
          <w:vertAlign w:val="superscript"/>
          <w:lang w:val="en-US"/>
        </w:rPr>
        <w:t>[52]</w:t>
      </w:r>
      <w:r>
        <w:rPr>
          <w:rFonts w:ascii="Arial" w:hAnsi="Arial"/>
          <w:sz w:val="24"/>
          <w:szCs w:val="24"/>
          <w:vertAlign w:val="superscript"/>
        </w:rPr>
        <w:t>[37][46]</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Investment in physical infrastructure is ultimately a function of local perception of needs. For example, a high variation in critical care bed numbers is observed across Europe in spite of arguably similar population demographics.</w:t>
      </w:r>
      <w:r>
        <w:rPr>
          <w:rFonts w:ascii="Arial" w:hAnsi="Arial"/>
          <w:sz w:val="24"/>
          <w:szCs w:val="24"/>
          <w:vertAlign w:val="superscript"/>
        </w:rPr>
        <w:t>[69]</w:t>
      </w:r>
      <w:r>
        <w:rPr>
          <w:rFonts w:ascii="Arial" w:hAnsi="Arial"/>
          <w:sz w:val="24"/>
          <w:szCs w:val="24"/>
          <w:lang w:val="en-US"/>
        </w:rPr>
        <w:t xml:space="preserve"> Certain countries face particularly difficult infrastructural barriers that prevent uninterrupted access to running water, electricity and oxygen which clearly interfere with acute care provision at a basic level.</w:t>
      </w:r>
      <w:r>
        <w:rPr>
          <w:rFonts w:ascii="Arial" w:hAnsi="Arial"/>
          <w:sz w:val="24"/>
          <w:szCs w:val="24"/>
          <w:vertAlign w:val="superscript"/>
        </w:rPr>
        <w:t>[16][19][51][62][65]</w:t>
      </w:r>
      <w:r>
        <w:rPr>
          <w:rFonts w:ascii="Arial" w:hAnsi="Arial"/>
          <w:sz w:val="24"/>
          <w:szCs w:val="24"/>
          <w:lang w:val="en-US"/>
        </w:rPr>
        <w:t>Countries that face additional threats, such as natural hazards, conflict, and higher rates of trauma and accident, have to factor surge capacity into their infrastructure</w:t>
      </w:r>
      <w:r>
        <w:rPr>
          <w:rFonts w:ascii="Arial" w:hAnsi="Arial"/>
          <w:sz w:val="24"/>
          <w:szCs w:val="24"/>
        </w:rPr>
        <w:t>.</w:t>
      </w:r>
      <w:r>
        <w:rPr>
          <w:rFonts w:ascii="Arial" w:hAnsi="Arial"/>
          <w:sz w:val="24"/>
          <w:szCs w:val="24"/>
          <w:vertAlign w:val="superscript"/>
        </w:rPr>
        <w:t>[19][20]</w:t>
      </w:r>
      <w:r>
        <w:rPr>
          <w:rFonts w:ascii="Arial" w:hAnsi="Arial"/>
          <w:sz w:val="24"/>
          <w:szCs w:val="24"/>
          <w:vertAlign w:val="superscript"/>
          <w:lang w:val="en-US"/>
        </w:rPr>
        <w:t>[53]</w:t>
      </w:r>
      <w:r>
        <w:rPr>
          <w:rFonts w:ascii="Arial" w:hAnsi="Arial"/>
          <w:sz w:val="24"/>
          <w:szCs w:val="24"/>
          <w:vertAlign w:val="superscript"/>
        </w:rPr>
        <w:t>[27][29][38][49]</w:t>
      </w:r>
      <w:r>
        <w:rPr>
          <w:rFonts w:ascii="Arial" w:hAnsi="Arial"/>
          <w:sz w:val="24"/>
          <w:szCs w:val="24"/>
          <w:vertAlign w:val="superscript"/>
          <w:lang w:val="en-US"/>
        </w:rPr>
        <w:t>[70]</w:t>
      </w:r>
    </w:p>
    <w:p w:rsidR="00CF084F" w:rsidRDefault="00CF084F" w:rsidP="00DA7D43">
      <w:pPr>
        <w:pStyle w:val="Body"/>
        <w:spacing w:line="480" w:lineRule="auto"/>
        <w:jc w:val="both"/>
      </w:pPr>
    </w:p>
    <w:p w:rsidR="00CF084F" w:rsidRDefault="00346DCB" w:rsidP="00DA7D43">
      <w:pPr>
        <w:pStyle w:val="Body"/>
        <w:spacing w:line="480" w:lineRule="auto"/>
        <w:jc w:val="both"/>
        <w:rPr>
          <w:rFonts w:ascii="Arial" w:eastAsia="Arial" w:hAnsi="Arial" w:cs="Arial"/>
          <w:b/>
          <w:bCs/>
          <w:sz w:val="24"/>
          <w:szCs w:val="24"/>
          <w:u w:val="single"/>
        </w:rPr>
      </w:pPr>
      <w:r>
        <w:rPr>
          <w:rFonts w:ascii="Arial" w:hAnsi="Arial"/>
          <w:b/>
          <w:bCs/>
          <w:sz w:val="24"/>
          <w:szCs w:val="24"/>
          <w:u w:val="single"/>
          <w:lang w:val="en-US"/>
        </w:rPr>
        <w:t>Discussion</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This review has touched upon the vast heterogeneity of EMS worldwide.</w:t>
      </w:r>
      <w:r>
        <w:rPr>
          <w:rFonts w:ascii="Arial" w:hAnsi="Arial"/>
          <w:sz w:val="24"/>
          <w:szCs w:val="24"/>
          <w:vertAlign w:val="superscript"/>
        </w:rPr>
        <w:t>[71]</w:t>
      </w:r>
      <w:r>
        <w:rPr>
          <w:rFonts w:ascii="Arial" w:hAnsi="Arial"/>
          <w:sz w:val="24"/>
          <w:szCs w:val="24"/>
          <w:vertAlign w:val="superscript"/>
          <w:lang w:val="en-US"/>
        </w:rPr>
        <w:t xml:space="preserve"> </w:t>
      </w:r>
      <w:r>
        <w:rPr>
          <w:rFonts w:ascii="Arial" w:hAnsi="Arial"/>
          <w:sz w:val="24"/>
          <w:szCs w:val="24"/>
          <w:lang w:val="en-US"/>
        </w:rPr>
        <w:t xml:space="preserve">Nevertheless, initiatives to strengthen the workforce driving EMS in low- and middle-income countries – by </w:t>
      </w:r>
      <w:r>
        <w:rPr>
          <w:rFonts w:ascii="Arial" w:hAnsi="Arial"/>
          <w:sz w:val="24"/>
          <w:szCs w:val="24"/>
          <w:lang w:val="en-US"/>
        </w:rPr>
        <w:lastRenderedPageBreak/>
        <w:t>increasing recognition of these specialties, and implementation of formal training certifications for prehospital and hospital practitioners – are cause for optimism.</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High focus has been placed on the availability of training opportunities and supplies. Few studies addressed the possibility of a direct relationship between such factors and workforce size, performance, and retention. This is an oversight, as other factors – including infrastructural support and adequate supervision – necessarily contribute to recruiting, retaining, and enabling, acute care professionals. However, is difficult to predict which of these factors has the greatest impact on workforce retention in areas of high need.</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 xml:space="preserve">Obermeyer </w:t>
      </w:r>
      <w:r>
        <w:rPr>
          <w:rFonts w:ascii="Arial" w:hAnsi="Arial"/>
          <w:i/>
          <w:iCs/>
          <w:sz w:val="24"/>
          <w:szCs w:val="24"/>
          <w:lang w:val="en-US"/>
        </w:rPr>
        <w:t>et al.</w:t>
      </w:r>
      <w:r>
        <w:rPr>
          <w:rFonts w:ascii="Arial" w:hAnsi="Arial"/>
          <w:sz w:val="24"/>
          <w:szCs w:val="24"/>
          <w:lang w:val="en-US"/>
        </w:rPr>
        <w:t xml:space="preserve"> conducted a systematic review of EMS in low- and middle-income countries in 2015 – quantifying bed numbers, annual patient volume, and mortality rates – and also observed inadequate staffing by specialised personnel.</w:t>
      </w:r>
      <w:r>
        <w:rPr>
          <w:rFonts w:ascii="Arial" w:hAnsi="Arial"/>
          <w:sz w:val="24"/>
          <w:szCs w:val="24"/>
          <w:vertAlign w:val="superscript"/>
          <w:lang w:val="pt-PT"/>
        </w:rPr>
        <w:t>[72]</w:t>
      </w:r>
      <w:r>
        <w:rPr>
          <w:rFonts w:ascii="Arial" w:hAnsi="Arial"/>
          <w:sz w:val="24"/>
          <w:szCs w:val="24"/>
          <w:vertAlign w:val="superscript"/>
          <w:lang w:val="en-US"/>
        </w:rPr>
        <w:t xml:space="preserve"> </w:t>
      </w:r>
      <w:r>
        <w:rPr>
          <w:rFonts w:ascii="Arial" w:hAnsi="Arial"/>
          <w:sz w:val="24"/>
          <w:szCs w:val="24"/>
          <w:lang w:val="en-US"/>
        </w:rPr>
        <w:t>However</w:t>
      </w:r>
      <w:r>
        <w:rPr>
          <w:rFonts w:ascii="Arial" w:hAnsi="Arial"/>
          <w:sz w:val="24"/>
          <w:szCs w:val="24"/>
        </w:rPr>
        <w:t xml:space="preserve">, </w:t>
      </w:r>
      <w:r>
        <w:rPr>
          <w:rFonts w:ascii="Arial" w:hAnsi="Arial"/>
          <w:sz w:val="24"/>
          <w:szCs w:val="24"/>
          <w:lang w:val="en-US"/>
        </w:rPr>
        <w:t>quantitative evidence is unavailable</w:t>
      </w:r>
      <w:r>
        <w:rPr>
          <w:rFonts w:ascii="Arial" w:hAnsi="Arial"/>
          <w:sz w:val="24"/>
          <w:szCs w:val="24"/>
        </w:rPr>
        <w:t xml:space="preserve">. </w:t>
      </w:r>
      <w:r>
        <w:rPr>
          <w:rFonts w:ascii="Arial" w:hAnsi="Arial"/>
          <w:sz w:val="24"/>
          <w:szCs w:val="24"/>
          <w:lang w:val="en-US"/>
        </w:rPr>
        <w:t xml:space="preserve">This author emailed the relevant </w:t>
      </w:r>
      <w:r>
        <w:rPr>
          <w:rFonts w:ascii="Arial" w:hAnsi="Arial"/>
          <w:sz w:val="24"/>
          <w:szCs w:val="24"/>
          <w:lang w:val="de-DE"/>
        </w:rPr>
        <w:t xml:space="preserve">WHO </w:t>
      </w:r>
      <w:r>
        <w:rPr>
          <w:rFonts w:ascii="Arial" w:hAnsi="Arial"/>
          <w:sz w:val="24"/>
          <w:szCs w:val="24"/>
          <w:lang w:val="en-US"/>
        </w:rPr>
        <w:t xml:space="preserve">unit on two occasions to enquire over the availability of disaggregated workforce </w:t>
      </w:r>
      <w:r>
        <w:rPr>
          <w:rFonts w:ascii="Arial" w:hAnsi="Arial"/>
          <w:sz w:val="24"/>
          <w:szCs w:val="24"/>
          <w:lang w:val="nl-NL"/>
        </w:rPr>
        <w:t>data</w:t>
      </w:r>
      <w:r>
        <w:rPr>
          <w:rFonts w:ascii="Arial" w:hAnsi="Arial"/>
          <w:sz w:val="24"/>
          <w:szCs w:val="24"/>
          <w:lang w:val="en-US"/>
        </w:rPr>
        <w:t xml:space="preserve"> and numbers</w:t>
      </w:r>
      <w:r>
        <w:rPr>
          <w:rFonts w:ascii="Arial" w:hAnsi="Arial"/>
          <w:sz w:val="24"/>
          <w:szCs w:val="24"/>
        </w:rPr>
        <w:t xml:space="preserve"> </w:t>
      </w:r>
      <w:r>
        <w:rPr>
          <w:rFonts w:ascii="Arial" w:hAnsi="Arial"/>
          <w:sz w:val="24"/>
          <w:szCs w:val="24"/>
          <w:lang w:val="en-US"/>
        </w:rPr>
        <w:t>of personnel</w:t>
      </w:r>
      <w:r>
        <w:rPr>
          <w:rFonts w:ascii="Arial" w:hAnsi="Arial"/>
          <w:sz w:val="24"/>
          <w:szCs w:val="24"/>
        </w:rPr>
        <w:t xml:space="preserve"> acute care</w:t>
      </w:r>
      <w:r>
        <w:rPr>
          <w:rFonts w:ascii="Arial" w:hAnsi="Arial"/>
          <w:sz w:val="24"/>
          <w:szCs w:val="24"/>
          <w:lang w:val="en-US"/>
        </w:rPr>
        <w:t xml:space="preserve"> internationally, but received no response.</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Econometric analyses consistently demonstrate strong relationships between health worker density and key healthcare outcomes, including negative correlations with the number of disability-adjusted life years.</w:t>
      </w:r>
      <w:r>
        <w:rPr>
          <w:rFonts w:ascii="Arial" w:hAnsi="Arial"/>
          <w:sz w:val="24"/>
          <w:szCs w:val="24"/>
          <w:vertAlign w:val="superscript"/>
          <w:lang w:val="en-US"/>
        </w:rPr>
        <w:t>[73]</w:t>
      </w:r>
      <w:r>
        <w:rPr>
          <w:rFonts w:ascii="Arial" w:hAnsi="Arial"/>
          <w:sz w:val="24"/>
          <w:szCs w:val="24"/>
          <w:lang w:val="en-US"/>
        </w:rPr>
        <w:t xml:space="preserve"> With regards to acute care, relationships between personnel and outcomes have only been analysed in local units, unpicking important relationships between staffing ratios and clinical outcomes, such as rates of nosocomial infection and length of stay.</w:t>
      </w:r>
      <w:r>
        <w:rPr>
          <w:rFonts w:ascii="Arial" w:hAnsi="Arial"/>
          <w:sz w:val="24"/>
          <w:szCs w:val="24"/>
          <w:vertAlign w:val="superscript"/>
          <w:lang w:val="en-US"/>
        </w:rPr>
        <w:t xml:space="preserve">[74–77] </w:t>
      </w:r>
      <w:r w:rsidR="003E75FA">
        <w:rPr>
          <w:rFonts w:ascii="Arial" w:hAnsi="Arial"/>
          <w:sz w:val="24"/>
          <w:szCs w:val="24"/>
          <w:lang w:val="en-US"/>
        </w:rPr>
        <w:t>For instance</w:t>
      </w:r>
      <w:r>
        <w:rPr>
          <w:rFonts w:ascii="Arial" w:hAnsi="Arial"/>
          <w:sz w:val="24"/>
          <w:szCs w:val="24"/>
          <w:lang w:val="en-US"/>
        </w:rPr>
        <w:t xml:space="preserve">, </w:t>
      </w:r>
      <w:r w:rsidR="003E75FA">
        <w:rPr>
          <w:rFonts w:ascii="Arial" w:hAnsi="Arial"/>
          <w:sz w:val="24"/>
          <w:szCs w:val="24"/>
          <w:lang w:val="en-US"/>
        </w:rPr>
        <w:t>in the</w:t>
      </w:r>
      <w:r>
        <w:rPr>
          <w:rFonts w:ascii="Arial" w:hAnsi="Arial"/>
          <w:sz w:val="24"/>
          <w:szCs w:val="24"/>
          <w:lang w:val="en-US"/>
        </w:rPr>
        <w:t xml:space="preserve"> U.K.</w:t>
      </w:r>
      <w:r w:rsidR="003E75FA">
        <w:rPr>
          <w:rFonts w:ascii="Arial" w:hAnsi="Arial"/>
          <w:sz w:val="24"/>
          <w:szCs w:val="24"/>
          <w:lang w:val="en-US"/>
        </w:rPr>
        <w:t>,</w:t>
      </w:r>
      <w:r>
        <w:rPr>
          <w:rFonts w:ascii="Arial" w:hAnsi="Arial"/>
          <w:sz w:val="24"/>
          <w:szCs w:val="24"/>
          <w:lang w:val="en-US"/>
        </w:rPr>
        <w:t xml:space="preserve"> </w:t>
      </w:r>
      <w:r w:rsidR="003E75FA">
        <w:rPr>
          <w:rFonts w:ascii="Arial" w:hAnsi="Arial"/>
          <w:sz w:val="24"/>
          <w:szCs w:val="24"/>
          <w:lang w:val="en-US"/>
        </w:rPr>
        <w:t xml:space="preserve">the </w:t>
      </w:r>
      <w:r>
        <w:rPr>
          <w:rFonts w:ascii="Arial" w:hAnsi="Arial"/>
          <w:sz w:val="24"/>
          <w:szCs w:val="24"/>
          <w:lang w:val="en-US"/>
        </w:rPr>
        <w:t>Department of Health’s proposed ‘weekend effect’, which suggested heightened mortality of patients during weekends, came under heat for not including studies that examined numbers of junior doctors.</w:t>
      </w:r>
      <w:r>
        <w:rPr>
          <w:rFonts w:ascii="Arial" w:hAnsi="Arial"/>
          <w:sz w:val="24"/>
          <w:szCs w:val="24"/>
          <w:vertAlign w:val="superscript"/>
          <w:lang w:val="en-US"/>
        </w:rPr>
        <w:t>[78]</w:t>
      </w:r>
      <w:r>
        <w:rPr>
          <w:rFonts w:ascii="Arial" w:hAnsi="Arial"/>
          <w:sz w:val="24"/>
          <w:szCs w:val="24"/>
          <w:lang w:val="en-US"/>
        </w:rPr>
        <w:t xml:space="preserve"> </w:t>
      </w:r>
    </w:p>
    <w:p w:rsidR="00CF084F" w:rsidRDefault="00CF084F" w:rsidP="00DA7D43">
      <w:pPr>
        <w:pStyle w:val="Body"/>
        <w:spacing w:line="480" w:lineRule="auto"/>
        <w:jc w:val="both"/>
        <w:rPr>
          <w:rFonts w:ascii="Arial" w:eastAsia="Arial" w:hAnsi="Arial" w:cs="Arial"/>
          <w:sz w:val="24"/>
          <w:szCs w:val="24"/>
          <w:vertAlign w:val="superscript"/>
        </w:rPr>
      </w:pPr>
    </w:p>
    <w:p w:rsidR="00CF084F" w:rsidRDefault="00346DCB" w:rsidP="00DA7D43">
      <w:pPr>
        <w:pStyle w:val="Body"/>
        <w:spacing w:line="480" w:lineRule="auto"/>
        <w:jc w:val="both"/>
        <w:rPr>
          <w:rFonts w:ascii="Arial" w:eastAsia="Arial" w:hAnsi="Arial" w:cs="Arial"/>
          <w:sz w:val="24"/>
          <w:szCs w:val="24"/>
          <w:vertAlign w:val="superscript"/>
        </w:rPr>
      </w:pPr>
      <w:r>
        <w:rPr>
          <w:rFonts w:ascii="Arial" w:hAnsi="Arial"/>
          <w:sz w:val="24"/>
          <w:szCs w:val="24"/>
          <w:lang w:val="en-US"/>
        </w:rPr>
        <w:lastRenderedPageBreak/>
        <w:t>Research in the field has investigated the efficacy of acute interventions in the resource-restricted setting, with foci on specific diseases.</w:t>
      </w:r>
      <w:r>
        <w:rPr>
          <w:rFonts w:ascii="Arial" w:hAnsi="Arial"/>
          <w:sz w:val="24"/>
          <w:szCs w:val="24"/>
          <w:vertAlign w:val="superscript"/>
          <w:lang w:val="en-US"/>
        </w:rPr>
        <w:t>[79]</w:t>
      </w:r>
      <w:r>
        <w:rPr>
          <w:rFonts w:ascii="Arial" w:hAnsi="Arial"/>
          <w:sz w:val="24"/>
          <w:szCs w:val="24"/>
          <w:lang w:val="en-US"/>
        </w:rPr>
        <w:t xml:space="preserve">  Obenmeyer et al. also reinforce that these carry a highly favourable cost-benefit ratio on account of the high burden of critical illness in these countries.</w:t>
      </w:r>
      <w:r>
        <w:rPr>
          <w:rFonts w:ascii="Arial" w:hAnsi="Arial"/>
          <w:sz w:val="24"/>
          <w:szCs w:val="24"/>
          <w:vertAlign w:val="superscript"/>
          <w:lang w:val="en-US"/>
        </w:rPr>
        <w:t xml:space="preserve"> </w:t>
      </w:r>
      <w:r>
        <w:rPr>
          <w:rFonts w:ascii="Arial" w:hAnsi="Arial"/>
          <w:sz w:val="24"/>
          <w:szCs w:val="24"/>
          <w:lang w:val="en-US"/>
        </w:rPr>
        <w:t xml:space="preserve">This report focuses uniquely on human resource, arguing that interventional studies should be complemented with an understanding of what is practicably achievable. As one review investigating delays to sepsis response in resource-limited countries discovered, </w:t>
      </w:r>
      <w:r>
        <w:rPr>
          <w:rFonts w:ascii="Arial" w:hAnsi="Arial"/>
          <w:i/>
          <w:iCs/>
          <w:sz w:val="24"/>
          <w:szCs w:val="24"/>
          <w:lang w:val="en-US"/>
        </w:rPr>
        <w:t>all</w:t>
      </w:r>
      <w:r>
        <w:rPr>
          <w:rFonts w:ascii="Arial" w:hAnsi="Arial"/>
          <w:sz w:val="24"/>
          <w:szCs w:val="24"/>
          <w:lang w:val="en-US"/>
        </w:rPr>
        <w:t xml:space="preserve"> essential steps – namely triage, fluid resuscitation, and monitoring and assessment – were delayed by personnel shortages.</w:t>
      </w:r>
      <w:r>
        <w:rPr>
          <w:rFonts w:ascii="Arial" w:hAnsi="Arial"/>
          <w:sz w:val="24"/>
          <w:szCs w:val="24"/>
          <w:vertAlign w:val="superscript"/>
          <w:lang w:val="en-US"/>
        </w:rPr>
        <w:t xml:space="preserve">[80] </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Just over half (56%) of studies included in this review were based in low-income or lower-middle-income countries. Importantly, workforce issues are not confined to, although their magnitude is considerably greater in, these settings. This relative infancy in fact leaves scope for them to decide how best to implement well-validated and low-resource measures such as triaging, treatment, escalation protocols, and adequate supervision. Western models are not necessarily transferable nor cost-effective. For instance, prehospital models focused on cardiac arrest response did not replicate well in Kuala Lumpur, Malaysia, which sees a higher incidence of trauma.</w:t>
      </w:r>
      <w:r>
        <w:rPr>
          <w:rFonts w:ascii="Arial" w:hAnsi="Arial"/>
          <w:sz w:val="24"/>
          <w:szCs w:val="24"/>
          <w:vertAlign w:val="superscript"/>
          <w:lang w:val="en-US"/>
        </w:rPr>
        <w:t>[81]</w:t>
      </w:r>
      <w:r>
        <w:rPr>
          <w:rFonts w:ascii="Arial" w:hAnsi="Arial"/>
          <w:sz w:val="24"/>
          <w:szCs w:val="24"/>
          <w:lang w:val="en-US"/>
        </w:rPr>
        <w:t xml:space="preserve"> Researchers in Cameroon emphasised that curricula should be long-sighted and adapted to available infrastructure.</w:t>
      </w:r>
      <w:r>
        <w:rPr>
          <w:rFonts w:ascii="Arial" w:hAnsi="Arial"/>
          <w:sz w:val="24"/>
          <w:szCs w:val="24"/>
          <w:vertAlign w:val="superscript"/>
        </w:rPr>
        <w:t>[59]</w:t>
      </w:r>
    </w:p>
    <w:p w:rsidR="00CF084F" w:rsidRDefault="00CF084F" w:rsidP="00DA7D43">
      <w:pPr>
        <w:pStyle w:val="Body"/>
        <w:spacing w:line="480" w:lineRule="auto"/>
        <w:jc w:val="both"/>
        <w:rPr>
          <w:rFonts w:ascii="Arial" w:eastAsia="Arial" w:hAnsi="Arial" w:cs="Arial"/>
          <w:sz w:val="24"/>
          <w:szCs w:val="24"/>
          <w:vertAlign w:val="superscript"/>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The specialty is amenable to task-shifting to paraprofessionals because acute care delivery is often algorithmic.</w:t>
      </w:r>
      <w:r>
        <w:rPr>
          <w:rFonts w:ascii="Arial" w:hAnsi="Arial"/>
          <w:sz w:val="24"/>
          <w:szCs w:val="24"/>
          <w:vertAlign w:val="superscript"/>
        </w:rPr>
        <w:t>[1]</w:t>
      </w:r>
      <w:r>
        <w:rPr>
          <w:rFonts w:ascii="Arial" w:hAnsi="Arial"/>
          <w:sz w:val="24"/>
          <w:szCs w:val="24"/>
          <w:vertAlign w:val="superscript"/>
          <w:lang w:val="en-US"/>
        </w:rPr>
        <w:t xml:space="preserve"> </w:t>
      </w:r>
      <w:r>
        <w:rPr>
          <w:rFonts w:ascii="Arial" w:hAnsi="Arial"/>
          <w:sz w:val="24"/>
          <w:szCs w:val="24"/>
          <w:lang w:val="en-US"/>
        </w:rPr>
        <w:t>Mid-level practitioners can meet shortfalls by ‘[diagnosing] and [treating] common health problems… [managing] emergencies… [referring] appropriately… [and transferring] the seriously ill or injured for further care.’</w:t>
      </w:r>
      <w:r>
        <w:rPr>
          <w:rFonts w:ascii="Arial" w:hAnsi="Arial"/>
          <w:sz w:val="24"/>
          <w:szCs w:val="24"/>
          <w:vertAlign w:val="superscript"/>
          <w:lang w:val="en-US"/>
        </w:rPr>
        <w:t xml:space="preserve">[82][83] </w:t>
      </w:r>
      <w:r>
        <w:rPr>
          <w:rFonts w:ascii="Arial" w:hAnsi="Arial"/>
          <w:sz w:val="24"/>
          <w:szCs w:val="24"/>
          <w:lang w:val="en-US"/>
        </w:rPr>
        <w:t xml:space="preserve">Although task-shifting is observed across the developing world, such cadres are not only relevant to the resource-restricted setting. Physician assistants, nurse practitioners, and specialist nurses can be </w:t>
      </w:r>
      <w:r>
        <w:rPr>
          <w:rFonts w:ascii="Arial" w:hAnsi="Arial"/>
          <w:sz w:val="24"/>
          <w:szCs w:val="24"/>
          <w:lang w:val="en-US"/>
        </w:rPr>
        <w:lastRenderedPageBreak/>
        <w:t>considered to some degree to fall within this category, and have long been integrated into the U.K.’s policies, especially within acute care.</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In many settings, the productivity of professionals is impaired by lack of access to basic supplies and facilities.</w:t>
      </w:r>
      <w:r>
        <w:rPr>
          <w:rFonts w:ascii="Arial" w:hAnsi="Arial"/>
          <w:sz w:val="24"/>
          <w:szCs w:val="24"/>
          <w:vertAlign w:val="superscript"/>
          <w:lang w:val="en-US"/>
        </w:rPr>
        <w:t>[84]</w:t>
      </w:r>
      <w:r>
        <w:rPr>
          <w:rFonts w:ascii="Arial" w:hAnsi="Arial"/>
          <w:sz w:val="24"/>
          <w:szCs w:val="24"/>
          <w:lang w:val="en-US"/>
        </w:rPr>
        <w:t xml:space="preserve"> Furthermore, EMS depend on timely response and transportation systems. These deficits are therefore unquestionable limiting factors. Nevertheless, it is worth dispelling misconception that acute and critical care are not inherently technology-intensive disciplines, but driven by human labour. Frequent monitoring, timely resuscitation and initiation of antimicrobial therapy – all dependent on human input and decision-making – can hardly be considered technologically advanced, but remain key constituents.</w:t>
      </w:r>
      <w:r>
        <w:rPr>
          <w:rFonts w:ascii="Arial" w:hAnsi="Arial"/>
          <w:sz w:val="24"/>
          <w:szCs w:val="24"/>
          <w:vertAlign w:val="superscript"/>
          <w:lang w:val="en-US"/>
        </w:rPr>
        <w:t xml:space="preserve">[85] </w:t>
      </w:r>
      <w:r>
        <w:rPr>
          <w:rFonts w:ascii="Arial" w:hAnsi="Arial"/>
          <w:sz w:val="24"/>
          <w:szCs w:val="24"/>
          <w:lang w:val="en-US"/>
        </w:rPr>
        <w:t>Despite global</w:t>
      </w:r>
      <w:r>
        <w:rPr>
          <w:rFonts w:ascii="Arial" w:hAnsi="Arial"/>
          <w:sz w:val="24"/>
          <w:szCs w:val="24"/>
        </w:rPr>
        <w:t xml:space="preserve"> </w:t>
      </w:r>
      <w:r>
        <w:rPr>
          <w:rFonts w:ascii="Arial" w:hAnsi="Arial"/>
          <w:sz w:val="24"/>
          <w:szCs w:val="24"/>
          <w:lang w:val="en-US"/>
        </w:rPr>
        <w:t>and regional differences, EMS are universally bound by principles of ‘triage and risk assessment’.</w:t>
      </w:r>
      <w:r>
        <w:rPr>
          <w:rFonts w:ascii="Arial" w:hAnsi="Arial"/>
          <w:sz w:val="24"/>
          <w:szCs w:val="24"/>
        </w:rPr>
        <w:t xml:space="preserve"> </w:t>
      </w:r>
      <w:r>
        <w:rPr>
          <w:rFonts w:ascii="Arial" w:hAnsi="Arial"/>
          <w:sz w:val="24"/>
          <w:szCs w:val="24"/>
          <w:lang w:val="en-US"/>
        </w:rPr>
        <w:t>Professionals must capably recognise illness severity and accordingly respond.</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 xml:space="preserve">Demand or </w:t>
      </w:r>
      <w:r>
        <w:rPr>
          <w:rFonts w:ascii="Arial" w:hAnsi="Arial"/>
          <w:sz w:val="24"/>
          <w:szCs w:val="24"/>
        </w:rPr>
        <w:t>‘</w:t>
      </w:r>
      <w:r>
        <w:rPr>
          <w:rFonts w:ascii="Arial" w:hAnsi="Arial"/>
          <w:sz w:val="24"/>
          <w:szCs w:val="24"/>
          <w:lang w:val="en-US"/>
        </w:rPr>
        <w:t>need</w:t>
      </w:r>
      <w:r>
        <w:rPr>
          <w:rFonts w:ascii="Arial" w:hAnsi="Arial"/>
          <w:sz w:val="24"/>
          <w:szCs w:val="24"/>
        </w:rPr>
        <w:t xml:space="preserve">’ </w:t>
      </w:r>
      <w:r>
        <w:rPr>
          <w:rFonts w:ascii="Arial" w:hAnsi="Arial"/>
          <w:sz w:val="24"/>
          <w:szCs w:val="24"/>
          <w:lang w:val="en-US"/>
        </w:rPr>
        <w:t>for healthcare is a key determinant for planning workforce numbers. Precise need-based estimates of disease burdens in acute care are difficult to obtain, particularly with respects to non-communicable disease.</w:t>
      </w:r>
      <w:r>
        <w:rPr>
          <w:rFonts w:ascii="Arial" w:hAnsi="Arial"/>
          <w:sz w:val="24"/>
          <w:szCs w:val="24"/>
          <w:vertAlign w:val="superscript"/>
        </w:rPr>
        <w:t>[1]</w:t>
      </w:r>
      <w:r>
        <w:rPr>
          <w:rFonts w:ascii="Arial" w:hAnsi="Arial"/>
          <w:sz w:val="24"/>
          <w:szCs w:val="24"/>
          <w:lang w:val="en-US"/>
        </w:rPr>
        <w:t xml:space="preserve"> This can be circumvented by utilising our knowledge of rates of disease-specific emergency complications. These estimates are challenging for higher levels of care, or critical care, due to a lack of both epidemiological information about, and consistency in defining, multiple organ dysfunction and critical illness syndromes.</w:t>
      </w:r>
      <w:r>
        <w:rPr>
          <w:rFonts w:ascii="Arial" w:hAnsi="Arial"/>
          <w:sz w:val="24"/>
          <w:szCs w:val="24"/>
          <w:vertAlign w:val="superscript"/>
        </w:rPr>
        <w:t>[69]</w:t>
      </w:r>
      <w:r>
        <w:rPr>
          <w:rFonts w:ascii="Arial" w:hAnsi="Arial"/>
          <w:sz w:val="24"/>
          <w:szCs w:val="24"/>
          <w:vertAlign w:val="superscript"/>
          <w:lang w:val="en-US"/>
        </w:rPr>
        <w:t>[84][86]</w:t>
      </w:r>
    </w:p>
    <w:p w:rsidR="00CF084F" w:rsidRDefault="00CF084F" w:rsidP="00DA7D43">
      <w:pPr>
        <w:pStyle w:val="Body"/>
        <w:spacing w:line="480" w:lineRule="auto"/>
        <w:jc w:val="both"/>
        <w:rPr>
          <w:rFonts w:ascii="Arial" w:eastAsia="Arial" w:hAnsi="Arial" w:cs="Arial"/>
          <w:sz w:val="24"/>
          <w:szCs w:val="24"/>
          <w:vertAlign w:val="superscript"/>
        </w:rPr>
      </w:pPr>
    </w:p>
    <w:p w:rsidR="00CF084F" w:rsidRDefault="00346DCB" w:rsidP="00DA7D43">
      <w:pPr>
        <w:pStyle w:val="Body"/>
        <w:spacing w:line="480" w:lineRule="auto"/>
        <w:jc w:val="both"/>
        <w:rPr>
          <w:rFonts w:ascii="Arial" w:eastAsia="Arial" w:hAnsi="Arial" w:cs="Arial"/>
          <w:sz w:val="24"/>
          <w:szCs w:val="24"/>
          <w:vertAlign w:val="superscript"/>
        </w:rPr>
      </w:pPr>
      <w:r>
        <w:rPr>
          <w:rFonts w:ascii="Arial" w:hAnsi="Arial"/>
          <w:sz w:val="24"/>
          <w:szCs w:val="24"/>
          <w:lang w:val="en-US"/>
        </w:rPr>
        <w:t>That over half of papers were first-authored by an author based in the United States implies that academic infrastructure in many of the countries of study are limited, the presence of which has</w:t>
      </w:r>
      <w:r>
        <w:rPr>
          <w:rFonts w:ascii="Arial" w:hAnsi="Arial"/>
          <w:sz w:val="24"/>
          <w:szCs w:val="24"/>
          <w:vertAlign w:val="superscript"/>
          <w:lang w:val="en-US"/>
        </w:rPr>
        <w:t xml:space="preserve"> </w:t>
      </w:r>
      <w:r>
        <w:rPr>
          <w:rFonts w:ascii="Arial" w:hAnsi="Arial"/>
          <w:sz w:val="24"/>
          <w:szCs w:val="24"/>
          <w:lang w:val="en-US"/>
        </w:rPr>
        <w:t>been deemed an indicator of high maturity of acute care systems.</w:t>
      </w:r>
      <w:r>
        <w:rPr>
          <w:rFonts w:ascii="Arial" w:hAnsi="Arial"/>
          <w:sz w:val="24"/>
          <w:szCs w:val="24"/>
          <w:vertAlign w:val="superscript"/>
        </w:rPr>
        <w:t>[71]</w:t>
      </w:r>
      <w:r>
        <w:rPr>
          <w:rFonts w:ascii="Arial" w:hAnsi="Arial"/>
          <w:sz w:val="24"/>
          <w:szCs w:val="24"/>
          <w:lang w:val="en-US"/>
        </w:rPr>
        <w:t xml:space="preserve"> Whilst not originally a measure of interest, 9 articles mentioned the development of clinical academic </w:t>
      </w:r>
      <w:r>
        <w:rPr>
          <w:rFonts w:ascii="Arial" w:hAnsi="Arial"/>
          <w:sz w:val="24"/>
          <w:szCs w:val="24"/>
          <w:lang w:val="en-US"/>
        </w:rPr>
        <w:lastRenderedPageBreak/>
        <w:t>infrastructure.</w:t>
      </w:r>
      <w:r>
        <w:rPr>
          <w:rFonts w:ascii="Arial" w:hAnsi="Arial"/>
          <w:sz w:val="24"/>
          <w:szCs w:val="24"/>
          <w:vertAlign w:val="superscript"/>
        </w:rPr>
        <w:t>[17][18][21]</w:t>
      </w:r>
      <w:r>
        <w:rPr>
          <w:rFonts w:ascii="Arial" w:hAnsi="Arial"/>
          <w:sz w:val="24"/>
          <w:szCs w:val="24"/>
          <w:vertAlign w:val="superscript"/>
          <w:lang w:val="en-US"/>
        </w:rPr>
        <w:t>[52]</w:t>
      </w:r>
      <w:r>
        <w:rPr>
          <w:rFonts w:ascii="Arial" w:hAnsi="Arial"/>
          <w:sz w:val="24"/>
          <w:szCs w:val="24"/>
          <w:vertAlign w:val="superscript"/>
        </w:rPr>
        <w:t>[38][47][48]</w:t>
      </w:r>
      <w:r>
        <w:rPr>
          <w:rFonts w:ascii="Arial" w:hAnsi="Arial"/>
          <w:sz w:val="24"/>
          <w:szCs w:val="24"/>
          <w:vertAlign w:val="superscript"/>
          <w:lang w:val="en-US"/>
        </w:rPr>
        <w:t>[87]][88]</w:t>
      </w:r>
      <w:r>
        <w:rPr>
          <w:rFonts w:ascii="Arial" w:hAnsi="Arial"/>
          <w:sz w:val="24"/>
          <w:szCs w:val="24"/>
          <w:lang w:val="en-US"/>
        </w:rPr>
        <w:t xml:space="preserve"> This aspect should not be neglected during the process of development either, so that professionals in countries can drive locally-oriented research that allows them to construct relevant guidelines. In this sense, the development of the WHO Trauma Care Programme bridges information gaps by providing resource-restricted areas the opportunity to access and implement contemporary evidence-based care guidelines.</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Heading2"/>
        <w:spacing w:line="480" w:lineRule="auto"/>
        <w:jc w:val="both"/>
        <w:rPr>
          <w:rFonts w:ascii="Arial" w:eastAsia="Arial" w:hAnsi="Arial" w:cs="Arial"/>
          <w:b w:val="0"/>
          <w:bCs w:val="0"/>
          <w:sz w:val="24"/>
          <w:szCs w:val="24"/>
          <w:u w:val="single"/>
        </w:rPr>
      </w:pPr>
      <w:r>
        <w:rPr>
          <w:rFonts w:ascii="Arial" w:hAnsi="Arial"/>
          <w:b w:val="0"/>
          <w:bCs w:val="0"/>
          <w:sz w:val="24"/>
          <w:szCs w:val="24"/>
          <w:u w:val="single"/>
        </w:rPr>
        <w:t>Limitations</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 xml:space="preserve">Screening and the application of framework to the articles was completed by only one author, and there was a lack of validation for this approach. The framework’s various components were </w:t>
      </w:r>
      <w:r w:rsidR="00535D66">
        <w:rPr>
          <w:rFonts w:ascii="Arial" w:hAnsi="Arial"/>
          <w:sz w:val="24"/>
          <w:szCs w:val="24"/>
          <w:lang w:val="en-US"/>
        </w:rPr>
        <w:t xml:space="preserve">also </w:t>
      </w:r>
      <w:r>
        <w:rPr>
          <w:rFonts w:ascii="Arial" w:hAnsi="Arial"/>
          <w:sz w:val="24"/>
          <w:szCs w:val="24"/>
          <w:lang w:val="en-US"/>
        </w:rPr>
        <w:t xml:space="preserve">equally weighted. Studies were conducted in only 44 countries, limiting </w:t>
      </w:r>
      <w:r w:rsidR="00AC2A24">
        <w:rPr>
          <w:rFonts w:ascii="Arial" w:hAnsi="Arial"/>
          <w:sz w:val="24"/>
          <w:szCs w:val="24"/>
          <w:lang w:val="en-US"/>
        </w:rPr>
        <w:t xml:space="preserve">the </w:t>
      </w:r>
      <w:r>
        <w:rPr>
          <w:rFonts w:ascii="Arial" w:hAnsi="Arial"/>
          <w:sz w:val="24"/>
          <w:szCs w:val="24"/>
          <w:lang w:val="en-US"/>
        </w:rPr>
        <w:t>generalisability of their findings</w:t>
      </w:r>
      <w:r>
        <w:rPr>
          <w:rFonts w:ascii="Arial" w:hAnsi="Arial"/>
          <w:sz w:val="24"/>
          <w:szCs w:val="24"/>
        </w:rPr>
        <w:t xml:space="preserve">. </w:t>
      </w:r>
      <w:r>
        <w:rPr>
          <w:rFonts w:ascii="Arial" w:hAnsi="Arial"/>
          <w:sz w:val="24"/>
          <w:szCs w:val="24"/>
          <w:lang w:val="en-US"/>
        </w:rPr>
        <w:t>Additionally, changes may have taken place since the original publication of the articles. There is a</w:t>
      </w:r>
      <w:r w:rsidR="00775106">
        <w:rPr>
          <w:rFonts w:ascii="Arial" w:hAnsi="Arial"/>
          <w:sz w:val="24"/>
          <w:szCs w:val="24"/>
          <w:lang w:val="en-US"/>
        </w:rPr>
        <w:t>lso a</w:t>
      </w:r>
      <w:r>
        <w:rPr>
          <w:rFonts w:ascii="Arial" w:hAnsi="Arial"/>
          <w:sz w:val="24"/>
          <w:szCs w:val="24"/>
          <w:lang w:val="en-US"/>
        </w:rPr>
        <w:t xml:space="preserve"> lack of </w:t>
      </w:r>
      <w:proofErr w:type="spellStart"/>
      <w:r>
        <w:rPr>
          <w:rFonts w:ascii="Arial" w:hAnsi="Arial"/>
          <w:sz w:val="24"/>
          <w:szCs w:val="24"/>
          <w:lang w:val="en-US"/>
        </w:rPr>
        <w:t>centralised</w:t>
      </w:r>
      <w:proofErr w:type="spellEnd"/>
      <w:r>
        <w:rPr>
          <w:rFonts w:ascii="Arial" w:hAnsi="Arial"/>
          <w:sz w:val="24"/>
          <w:szCs w:val="24"/>
          <w:lang w:val="en-US"/>
        </w:rPr>
        <w:t xml:space="preserve"> data sources regarding acute care services by which this might have been rectified.</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 xml:space="preserve">There are no standardised metrics for the evaluation of acute care services. Apart from cross-sectional studies employing the same evaluation tools </w:t>
      </w:r>
      <w:r>
        <w:rPr>
          <w:rFonts w:ascii="Arial" w:hAnsi="Arial"/>
          <w:i/>
          <w:iCs/>
          <w:sz w:val="24"/>
          <w:szCs w:val="24"/>
          <w:lang w:val="en-US"/>
        </w:rPr>
        <w:t>a priori</w:t>
      </w:r>
      <w:r>
        <w:rPr>
          <w:rFonts w:ascii="Arial" w:hAnsi="Arial"/>
          <w:sz w:val="24"/>
          <w:szCs w:val="24"/>
          <w:lang w:val="en-US"/>
        </w:rPr>
        <w:t xml:space="preserve">, there was methodological variation across all studies. Because researchers did not study the same characteristics, we can only extrapolate from what was evidenced within the articles. Generally, whether correctly or incorrectly, studies tended to value the presence of physicians in this context over other health professionals. Conversely, although the use of standardised evaluative tools is helpful in allowing for comparison of identical metrics, their use </w:t>
      </w:r>
      <w:r w:rsidR="00151AFC">
        <w:rPr>
          <w:rFonts w:ascii="Arial" w:hAnsi="Arial"/>
          <w:sz w:val="24"/>
          <w:szCs w:val="24"/>
          <w:lang w:val="en-US"/>
        </w:rPr>
        <w:t>can run the risk of being</w:t>
      </w:r>
      <w:r>
        <w:rPr>
          <w:rFonts w:ascii="Arial" w:hAnsi="Arial"/>
          <w:sz w:val="24"/>
          <w:szCs w:val="24"/>
          <w:lang w:val="en-US"/>
        </w:rPr>
        <w:t xml:space="preserve"> ethnocentric.</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lastRenderedPageBreak/>
        <w:t xml:space="preserve">The quality of the evidence was low and no patient outcomes were reported. There are inherent errors to using questionnaire-based methods, including over-reliance on self-reporting, lack of responses from a representative sample, and the imposition of leading or suggestive questions. In addition, many cross-sectional studies adopted either an urban focus or convenience sampling methods, undermining their representativeness. A mix of primary and secondary data sources were generally employed, and some studies aggregated numbers of personnel across primary and secondary centres. Countries do not have identical recording and reporting systems, hindering inter-system comparison. It was not possible to verify the objectivity of qualitative case studies, which were used </w:t>
      </w:r>
      <w:r w:rsidRPr="001E44FB">
        <w:rPr>
          <w:rFonts w:ascii="Arial" w:hAnsi="Arial"/>
          <w:sz w:val="24"/>
          <w:szCs w:val="24"/>
        </w:rPr>
        <w:t xml:space="preserve">to gauge </w:t>
      </w:r>
      <w:r>
        <w:rPr>
          <w:rFonts w:ascii="Arial" w:hAnsi="Arial"/>
          <w:sz w:val="24"/>
          <w:szCs w:val="24"/>
          <w:lang w:val="en-US"/>
        </w:rPr>
        <w:t>understanding of the state of acute care for multiple countries.</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b/>
          <w:bCs/>
          <w:sz w:val="24"/>
          <w:szCs w:val="24"/>
          <w:u w:val="single"/>
        </w:rPr>
      </w:pPr>
      <w:r>
        <w:rPr>
          <w:rFonts w:ascii="Arial" w:hAnsi="Arial"/>
          <w:b/>
          <w:bCs/>
          <w:sz w:val="24"/>
          <w:szCs w:val="24"/>
          <w:u w:val="single"/>
          <w:lang w:val="en-US"/>
        </w:rPr>
        <w:t>Conclusion</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This is a first attempt at analysing the literature on the subject. Development should be driven by the implementation of principles such as triaging and evidence-based management protocols, supported by organisation and supervision, tailored to meet local burdens of acute care needs. The potential of simple human resource policies to retain and increase efficacy of staff by improving working conditions should not be underestimated.</w:t>
      </w:r>
    </w:p>
    <w:p w:rsidR="00CF084F" w:rsidRDefault="00CF084F" w:rsidP="00DA7D43">
      <w:pPr>
        <w:pStyle w:val="Body"/>
        <w:spacing w:line="480" w:lineRule="auto"/>
        <w:jc w:val="both"/>
        <w:rPr>
          <w:rFonts w:ascii="Arial" w:eastAsia="Arial" w:hAnsi="Arial" w:cs="Arial"/>
          <w:sz w:val="24"/>
          <w:szCs w:val="24"/>
        </w:rPr>
      </w:pP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 xml:space="preserve">We now better appreciate the role acute care plays, not only in treatment but for disease surveillance and public health. Subsequent study of the performance of these systems on an international scale over the coming decades, and the development of a rigorous dataset of its workers, should provide us with a unique opportunity to observe what operates well. </w:t>
      </w:r>
    </w:p>
    <w:p w:rsidR="00CF084F" w:rsidRDefault="00CF084F" w:rsidP="00DA7D43">
      <w:pPr>
        <w:pStyle w:val="Body"/>
        <w:spacing w:line="480" w:lineRule="auto"/>
        <w:jc w:val="both"/>
        <w:rPr>
          <w:rFonts w:ascii="Arial" w:eastAsia="Arial" w:hAnsi="Arial" w:cs="Arial"/>
          <w:sz w:val="24"/>
          <w:szCs w:val="24"/>
        </w:rPr>
      </w:pPr>
    </w:p>
    <w:p w:rsidR="003E0C54" w:rsidRDefault="003E0C54" w:rsidP="00DA7D43">
      <w:pPr>
        <w:pStyle w:val="Body"/>
        <w:spacing w:line="480" w:lineRule="auto"/>
        <w:jc w:val="both"/>
        <w:rPr>
          <w:rFonts w:ascii="Arial" w:eastAsia="Arial" w:hAnsi="Arial" w:cs="Arial"/>
          <w:sz w:val="24"/>
          <w:szCs w:val="24"/>
        </w:rPr>
      </w:pPr>
    </w:p>
    <w:p w:rsidR="003E0C54" w:rsidRDefault="003E0C54" w:rsidP="00DA7D43">
      <w:pPr>
        <w:pStyle w:val="Body"/>
        <w:spacing w:line="480" w:lineRule="auto"/>
        <w:jc w:val="both"/>
        <w:rPr>
          <w:rFonts w:ascii="Arial" w:eastAsia="Arial" w:hAnsi="Arial" w:cs="Arial"/>
          <w:sz w:val="24"/>
          <w:szCs w:val="24"/>
        </w:rPr>
      </w:pPr>
    </w:p>
    <w:p w:rsidR="004A0764" w:rsidRPr="005447BF" w:rsidRDefault="004A0764" w:rsidP="00DA7D43">
      <w:pPr>
        <w:spacing w:line="480" w:lineRule="auto"/>
        <w:rPr>
          <w:rFonts w:ascii="Arial" w:hAnsi="Arial"/>
          <w:bCs/>
        </w:rPr>
      </w:pPr>
      <w:r>
        <w:rPr>
          <w:rFonts w:ascii="Arial" w:hAnsi="Arial"/>
          <w:b/>
          <w:bCs/>
          <w:u w:val="single"/>
        </w:rPr>
        <w:lastRenderedPageBreak/>
        <w:t>Declarations</w:t>
      </w:r>
    </w:p>
    <w:p w:rsidR="004A0764" w:rsidRDefault="004A0764" w:rsidP="00DA7D43">
      <w:pPr>
        <w:spacing w:line="480" w:lineRule="auto"/>
        <w:rPr>
          <w:rFonts w:ascii="Arial" w:hAnsi="Arial"/>
          <w:b/>
          <w:bCs/>
          <w:u w:val="single"/>
        </w:rPr>
      </w:pPr>
      <w:r>
        <w:rPr>
          <w:rFonts w:ascii="Arial" w:hAnsi="Arial"/>
          <w:b/>
          <w:bCs/>
          <w:u w:val="single"/>
        </w:rPr>
        <w:t>Ethics approval and consent to participate</w:t>
      </w:r>
    </w:p>
    <w:p w:rsidR="005447BF" w:rsidRPr="005447BF" w:rsidRDefault="004A0764" w:rsidP="00DA7D43">
      <w:pPr>
        <w:spacing w:line="480" w:lineRule="auto"/>
        <w:rPr>
          <w:rFonts w:ascii="Arial" w:hAnsi="Arial"/>
          <w:bCs/>
        </w:rPr>
      </w:pPr>
      <w:r>
        <w:rPr>
          <w:rFonts w:ascii="Arial" w:hAnsi="Arial"/>
          <w:bCs/>
        </w:rPr>
        <w:t>Not applicable</w:t>
      </w:r>
    </w:p>
    <w:p w:rsidR="004A0764" w:rsidRDefault="004A0764" w:rsidP="00DA7D43">
      <w:pPr>
        <w:spacing w:line="480" w:lineRule="auto"/>
        <w:rPr>
          <w:rFonts w:ascii="Arial" w:hAnsi="Arial"/>
          <w:bCs/>
        </w:rPr>
      </w:pPr>
      <w:r>
        <w:rPr>
          <w:rFonts w:ascii="Arial" w:hAnsi="Arial"/>
          <w:b/>
          <w:bCs/>
          <w:u w:val="single"/>
        </w:rPr>
        <w:t>Consent for publication</w:t>
      </w:r>
    </w:p>
    <w:p w:rsidR="005447BF" w:rsidRPr="005447BF" w:rsidRDefault="004A0764" w:rsidP="00DA7D43">
      <w:pPr>
        <w:spacing w:line="480" w:lineRule="auto"/>
        <w:rPr>
          <w:rFonts w:ascii="Arial" w:hAnsi="Arial"/>
          <w:bCs/>
        </w:rPr>
      </w:pPr>
      <w:r>
        <w:rPr>
          <w:rFonts w:ascii="Arial" w:hAnsi="Arial"/>
          <w:bCs/>
        </w:rPr>
        <w:t>Not applicable</w:t>
      </w:r>
    </w:p>
    <w:p w:rsidR="004A0764" w:rsidRDefault="004A0764" w:rsidP="00DA7D43">
      <w:pPr>
        <w:spacing w:line="480" w:lineRule="auto"/>
        <w:rPr>
          <w:rFonts w:ascii="Arial" w:hAnsi="Arial"/>
          <w:bCs/>
        </w:rPr>
      </w:pPr>
      <w:r>
        <w:rPr>
          <w:rFonts w:ascii="Arial" w:hAnsi="Arial"/>
          <w:b/>
          <w:bCs/>
          <w:u w:val="single"/>
        </w:rPr>
        <w:t>Availability of data and material</w:t>
      </w:r>
    </w:p>
    <w:p w:rsidR="004A0764" w:rsidRDefault="005447BF" w:rsidP="00DA7D43">
      <w:pPr>
        <w:spacing w:line="480" w:lineRule="auto"/>
        <w:rPr>
          <w:rFonts w:ascii="Arial" w:hAnsi="Arial"/>
          <w:bCs/>
        </w:rPr>
      </w:pPr>
      <w:r>
        <w:rPr>
          <w:rFonts w:ascii="Arial" w:hAnsi="Arial"/>
          <w:bCs/>
        </w:rPr>
        <w:t xml:space="preserve">A list of </w:t>
      </w:r>
      <w:r w:rsidR="003E0C54">
        <w:rPr>
          <w:rFonts w:ascii="Arial" w:hAnsi="Arial"/>
          <w:bCs/>
        </w:rPr>
        <w:t xml:space="preserve">the </w:t>
      </w:r>
      <w:r>
        <w:rPr>
          <w:rFonts w:ascii="Arial" w:hAnsi="Arial"/>
          <w:bCs/>
        </w:rPr>
        <w:t>retrieved articles studied is available in the adjoined appendix.</w:t>
      </w:r>
    </w:p>
    <w:p w:rsidR="004A0764" w:rsidRDefault="004A0764" w:rsidP="00DA7D43">
      <w:pPr>
        <w:spacing w:line="480" w:lineRule="auto"/>
        <w:rPr>
          <w:rFonts w:ascii="Arial" w:hAnsi="Arial"/>
          <w:bCs/>
        </w:rPr>
      </w:pPr>
      <w:r>
        <w:rPr>
          <w:rFonts w:ascii="Arial" w:hAnsi="Arial"/>
          <w:b/>
          <w:bCs/>
          <w:u w:val="single"/>
        </w:rPr>
        <w:t>Competing interests</w:t>
      </w:r>
    </w:p>
    <w:p w:rsidR="005447BF" w:rsidRPr="005447BF" w:rsidRDefault="004A0764" w:rsidP="00DA7D43">
      <w:pPr>
        <w:spacing w:line="480" w:lineRule="auto"/>
        <w:rPr>
          <w:rFonts w:ascii="Arial" w:hAnsi="Arial"/>
          <w:bCs/>
        </w:rPr>
      </w:pPr>
      <w:r>
        <w:rPr>
          <w:rFonts w:ascii="Arial" w:hAnsi="Arial"/>
          <w:bCs/>
        </w:rPr>
        <w:t xml:space="preserve">The author declares she has no competing interest. </w:t>
      </w:r>
    </w:p>
    <w:p w:rsidR="004A0764" w:rsidRDefault="004A0764" w:rsidP="00DA7D43">
      <w:pPr>
        <w:spacing w:line="480" w:lineRule="auto"/>
        <w:rPr>
          <w:rFonts w:ascii="Arial" w:hAnsi="Arial"/>
          <w:b/>
          <w:bCs/>
          <w:u w:val="single"/>
        </w:rPr>
      </w:pPr>
      <w:r>
        <w:rPr>
          <w:rFonts w:ascii="Arial" w:hAnsi="Arial"/>
          <w:b/>
          <w:bCs/>
          <w:u w:val="single"/>
        </w:rPr>
        <w:t>Funding</w:t>
      </w:r>
    </w:p>
    <w:p w:rsidR="004A0764" w:rsidRDefault="004A0764" w:rsidP="00DA7D43">
      <w:pPr>
        <w:spacing w:line="480" w:lineRule="auto"/>
        <w:rPr>
          <w:rFonts w:ascii="Arial" w:hAnsi="Arial"/>
          <w:bCs/>
        </w:rPr>
      </w:pPr>
      <w:r w:rsidRPr="004A0764">
        <w:rPr>
          <w:rFonts w:ascii="Arial" w:hAnsi="Arial"/>
          <w:bCs/>
        </w:rPr>
        <w:t>Not applicable</w:t>
      </w:r>
    </w:p>
    <w:p w:rsidR="004A0764" w:rsidRDefault="004A0764" w:rsidP="00DA7D43">
      <w:pPr>
        <w:spacing w:line="480" w:lineRule="auto"/>
        <w:rPr>
          <w:rFonts w:ascii="Arial" w:hAnsi="Arial"/>
          <w:b/>
          <w:bCs/>
          <w:u w:val="single"/>
        </w:rPr>
      </w:pPr>
    </w:p>
    <w:p w:rsidR="00CF084F" w:rsidRPr="005447BF" w:rsidRDefault="00346DCB" w:rsidP="005447BF">
      <w:pPr>
        <w:spacing w:line="480" w:lineRule="auto"/>
        <w:rPr>
          <w:rFonts w:ascii="Arial" w:hAnsi="Arial" w:cs="Arial Unicode MS"/>
          <w:bCs/>
          <w:color w:val="000000"/>
        </w:rPr>
      </w:pPr>
      <w:r>
        <w:rPr>
          <w:rFonts w:ascii="Arial" w:hAnsi="Arial"/>
          <w:b/>
          <w:bCs/>
          <w:u w:val="single"/>
        </w:rPr>
        <w:t>Acknowledgements</w:t>
      </w:r>
    </w:p>
    <w:p w:rsidR="00CF084F" w:rsidRDefault="00346DCB" w:rsidP="00DA7D43">
      <w:pPr>
        <w:pStyle w:val="Body"/>
        <w:spacing w:line="480" w:lineRule="auto"/>
        <w:jc w:val="both"/>
        <w:rPr>
          <w:rFonts w:ascii="Arial" w:eastAsia="Arial" w:hAnsi="Arial" w:cs="Arial"/>
          <w:sz w:val="24"/>
          <w:szCs w:val="24"/>
        </w:rPr>
      </w:pPr>
      <w:r>
        <w:rPr>
          <w:rFonts w:ascii="Arial" w:hAnsi="Arial"/>
          <w:sz w:val="24"/>
          <w:szCs w:val="24"/>
          <w:lang w:val="en-US"/>
        </w:rPr>
        <w:t xml:space="preserve">I would like to thank Professor Paul Dark for his invaluable supervision, guidance, encouragement and criticisms, and for allowing me to pursue an area of great personal interest.  </w:t>
      </w:r>
    </w:p>
    <w:p w:rsidR="00CF084F" w:rsidRDefault="00CF084F" w:rsidP="00DA7D43">
      <w:pPr>
        <w:pStyle w:val="Body"/>
        <w:spacing w:line="480" w:lineRule="auto"/>
        <w:jc w:val="both"/>
      </w:pPr>
    </w:p>
    <w:p w:rsidR="00CF084F" w:rsidRDefault="00346DCB">
      <w:pPr>
        <w:pStyle w:val="Heading"/>
        <w:spacing w:line="360" w:lineRule="auto"/>
        <w:jc w:val="both"/>
        <w:rPr>
          <w:rFonts w:ascii="Arial" w:eastAsia="Arial" w:hAnsi="Arial" w:cs="Arial"/>
          <w:sz w:val="24"/>
          <w:szCs w:val="24"/>
          <w:u w:val="single"/>
        </w:rPr>
      </w:pPr>
      <w:r>
        <w:rPr>
          <w:rFonts w:ascii="Arial" w:hAnsi="Arial"/>
          <w:sz w:val="24"/>
          <w:szCs w:val="24"/>
          <w:u w:val="single"/>
        </w:rPr>
        <w:t>List of acronyms</w:t>
      </w:r>
    </w:p>
    <w:tbl>
      <w:tblPr>
        <w:tblW w:w="849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4247"/>
        <w:gridCol w:w="4247"/>
      </w:tblGrid>
      <w:tr w:rsidR="00CF084F">
        <w:trPr>
          <w:trHeight w:val="279"/>
        </w:trPr>
        <w:tc>
          <w:tcPr>
            <w:tcW w:w="4247" w:type="dxa"/>
            <w:tcBorders>
              <w:top w:val="nil"/>
              <w:left w:val="nil"/>
              <w:bottom w:val="nil"/>
              <w:right w:val="nil"/>
            </w:tcBorders>
            <w:shd w:val="clear" w:color="auto" w:fill="auto"/>
            <w:tcMar>
              <w:top w:w="80" w:type="dxa"/>
              <w:left w:w="80" w:type="dxa"/>
              <w:bottom w:w="80" w:type="dxa"/>
              <w:right w:w="80" w:type="dxa"/>
            </w:tcMar>
          </w:tcPr>
          <w:p w:rsidR="00CF084F" w:rsidRDefault="00346DCB">
            <w:pPr>
              <w:pStyle w:val="TableStyle2"/>
              <w:jc w:val="right"/>
            </w:pPr>
            <w:r>
              <w:rPr>
                <w:rFonts w:ascii="Arial" w:hAnsi="Arial"/>
                <w:b/>
                <w:bCs/>
                <w:sz w:val="24"/>
                <w:szCs w:val="24"/>
              </w:rPr>
              <w:t>ED</w:t>
            </w:r>
          </w:p>
        </w:tc>
        <w:tc>
          <w:tcPr>
            <w:tcW w:w="4247" w:type="dxa"/>
            <w:tcBorders>
              <w:top w:val="nil"/>
              <w:left w:val="nil"/>
              <w:bottom w:val="nil"/>
              <w:right w:val="nil"/>
            </w:tcBorders>
            <w:shd w:val="clear" w:color="auto" w:fill="auto"/>
            <w:tcMar>
              <w:top w:w="80" w:type="dxa"/>
              <w:left w:w="80" w:type="dxa"/>
              <w:bottom w:w="80" w:type="dxa"/>
              <w:right w:w="80" w:type="dxa"/>
            </w:tcMar>
          </w:tcPr>
          <w:p w:rsidR="00CF084F" w:rsidRDefault="00346DCB">
            <w:pPr>
              <w:pStyle w:val="TableStyle2"/>
            </w:pPr>
            <w:r>
              <w:rPr>
                <w:rFonts w:ascii="Arial" w:hAnsi="Arial"/>
                <w:sz w:val="24"/>
                <w:szCs w:val="24"/>
              </w:rPr>
              <w:t>Emergency Department</w:t>
            </w:r>
          </w:p>
        </w:tc>
      </w:tr>
      <w:tr w:rsidR="00CF084F">
        <w:trPr>
          <w:trHeight w:val="279"/>
        </w:trPr>
        <w:tc>
          <w:tcPr>
            <w:tcW w:w="4247" w:type="dxa"/>
            <w:tcBorders>
              <w:top w:val="nil"/>
              <w:left w:val="nil"/>
              <w:bottom w:val="nil"/>
              <w:right w:val="nil"/>
            </w:tcBorders>
            <w:shd w:val="clear" w:color="auto" w:fill="auto"/>
            <w:tcMar>
              <w:top w:w="80" w:type="dxa"/>
              <w:left w:w="80" w:type="dxa"/>
              <w:bottom w:w="80" w:type="dxa"/>
              <w:right w:w="80" w:type="dxa"/>
            </w:tcMar>
          </w:tcPr>
          <w:p w:rsidR="00CF084F" w:rsidRDefault="00346DCB">
            <w:pPr>
              <w:pStyle w:val="TableStyle2"/>
              <w:jc w:val="right"/>
            </w:pPr>
            <w:r>
              <w:rPr>
                <w:rFonts w:ascii="Arial" w:hAnsi="Arial"/>
                <w:b/>
                <w:bCs/>
                <w:sz w:val="24"/>
                <w:szCs w:val="24"/>
              </w:rPr>
              <w:t>EMS</w:t>
            </w:r>
          </w:p>
        </w:tc>
        <w:tc>
          <w:tcPr>
            <w:tcW w:w="4247" w:type="dxa"/>
            <w:tcBorders>
              <w:top w:val="nil"/>
              <w:left w:val="nil"/>
              <w:bottom w:val="nil"/>
              <w:right w:val="nil"/>
            </w:tcBorders>
            <w:shd w:val="clear" w:color="auto" w:fill="auto"/>
            <w:tcMar>
              <w:top w:w="80" w:type="dxa"/>
              <w:left w:w="80" w:type="dxa"/>
              <w:bottom w:w="80" w:type="dxa"/>
              <w:right w:w="80" w:type="dxa"/>
            </w:tcMar>
          </w:tcPr>
          <w:p w:rsidR="00CF084F" w:rsidRDefault="00346DCB">
            <w:pPr>
              <w:pStyle w:val="TableStyle2"/>
            </w:pPr>
            <w:r>
              <w:rPr>
                <w:rFonts w:ascii="Arial" w:hAnsi="Arial"/>
                <w:sz w:val="24"/>
                <w:szCs w:val="24"/>
              </w:rPr>
              <w:t>Emergency Medical Systems</w:t>
            </w:r>
          </w:p>
        </w:tc>
      </w:tr>
      <w:tr w:rsidR="00CF084F">
        <w:trPr>
          <w:trHeight w:val="279"/>
        </w:trPr>
        <w:tc>
          <w:tcPr>
            <w:tcW w:w="4247" w:type="dxa"/>
            <w:tcBorders>
              <w:top w:val="nil"/>
              <w:left w:val="nil"/>
              <w:bottom w:val="nil"/>
              <w:right w:val="nil"/>
            </w:tcBorders>
            <w:shd w:val="clear" w:color="auto" w:fill="auto"/>
            <w:tcMar>
              <w:top w:w="80" w:type="dxa"/>
              <w:left w:w="80" w:type="dxa"/>
              <w:bottom w:w="80" w:type="dxa"/>
              <w:right w:w="80" w:type="dxa"/>
            </w:tcMar>
          </w:tcPr>
          <w:p w:rsidR="00CF084F" w:rsidRDefault="00346DCB">
            <w:pPr>
              <w:pStyle w:val="TableStyle2"/>
              <w:jc w:val="right"/>
            </w:pPr>
            <w:r>
              <w:rPr>
                <w:rFonts w:ascii="Arial" w:hAnsi="Arial"/>
                <w:b/>
                <w:bCs/>
                <w:sz w:val="24"/>
                <w:szCs w:val="24"/>
              </w:rPr>
              <w:t>WHA</w:t>
            </w:r>
          </w:p>
        </w:tc>
        <w:tc>
          <w:tcPr>
            <w:tcW w:w="4247" w:type="dxa"/>
            <w:tcBorders>
              <w:top w:val="nil"/>
              <w:left w:val="nil"/>
              <w:bottom w:val="nil"/>
              <w:right w:val="nil"/>
            </w:tcBorders>
            <w:shd w:val="clear" w:color="auto" w:fill="auto"/>
            <w:tcMar>
              <w:top w:w="80" w:type="dxa"/>
              <w:left w:w="80" w:type="dxa"/>
              <w:bottom w:w="80" w:type="dxa"/>
              <w:right w:w="80" w:type="dxa"/>
            </w:tcMar>
          </w:tcPr>
          <w:p w:rsidR="00CF084F" w:rsidRDefault="00346DCB">
            <w:pPr>
              <w:pStyle w:val="TableStyle2"/>
            </w:pPr>
            <w:r>
              <w:rPr>
                <w:rFonts w:ascii="Arial" w:hAnsi="Arial"/>
                <w:sz w:val="24"/>
                <w:szCs w:val="24"/>
              </w:rPr>
              <w:t>World Health Assembly</w:t>
            </w:r>
          </w:p>
        </w:tc>
      </w:tr>
      <w:tr w:rsidR="00CF084F">
        <w:trPr>
          <w:trHeight w:val="279"/>
        </w:trPr>
        <w:tc>
          <w:tcPr>
            <w:tcW w:w="4247" w:type="dxa"/>
            <w:tcBorders>
              <w:top w:val="nil"/>
              <w:left w:val="nil"/>
              <w:bottom w:val="nil"/>
              <w:right w:val="nil"/>
            </w:tcBorders>
            <w:shd w:val="clear" w:color="auto" w:fill="auto"/>
            <w:tcMar>
              <w:top w:w="80" w:type="dxa"/>
              <w:left w:w="80" w:type="dxa"/>
              <w:bottom w:w="80" w:type="dxa"/>
              <w:right w:w="80" w:type="dxa"/>
            </w:tcMar>
          </w:tcPr>
          <w:p w:rsidR="00CF084F" w:rsidRDefault="00346DCB">
            <w:pPr>
              <w:pStyle w:val="TableStyle2"/>
              <w:jc w:val="right"/>
            </w:pPr>
            <w:r>
              <w:rPr>
                <w:rFonts w:ascii="Arial" w:hAnsi="Arial"/>
                <w:b/>
                <w:bCs/>
                <w:sz w:val="24"/>
                <w:szCs w:val="24"/>
              </w:rPr>
              <w:t>WHO</w:t>
            </w:r>
          </w:p>
        </w:tc>
        <w:tc>
          <w:tcPr>
            <w:tcW w:w="4247" w:type="dxa"/>
            <w:tcBorders>
              <w:top w:val="nil"/>
              <w:left w:val="nil"/>
              <w:bottom w:val="nil"/>
              <w:right w:val="nil"/>
            </w:tcBorders>
            <w:shd w:val="clear" w:color="auto" w:fill="auto"/>
            <w:tcMar>
              <w:top w:w="80" w:type="dxa"/>
              <w:left w:w="80" w:type="dxa"/>
              <w:bottom w:w="80" w:type="dxa"/>
              <w:right w:w="80" w:type="dxa"/>
            </w:tcMar>
          </w:tcPr>
          <w:p w:rsidR="00CF084F" w:rsidRDefault="00346DCB">
            <w:pPr>
              <w:pStyle w:val="TableStyle2"/>
            </w:pPr>
            <w:r>
              <w:rPr>
                <w:rFonts w:ascii="Arial" w:hAnsi="Arial"/>
                <w:sz w:val="24"/>
                <w:szCs w:val="24"/>
              </w:rPr>
              <w:t>World Health Organisation</w:t>
            </w:r>
          </w:p>
        </w:tc>
      </w:tr>
    </w:tbl>
    <w:p w:rsidR="00CF084F" w:rsidRDefault="00CF084F">
      <w:pPr>
        <w:pStyle w:val="Body"/>
        <w:jc w:val="both"/>
        <w:rPr>
          <w:rFonts w:ascii="Arial" w:eastAsia="Arial" w:hAnsi="Arial" w:cs="Arial"/>
          <w:sz w:val="24"/>
          <w:szCs w:val="24"/>
        </w:rPr>
      </w:pPr>
    </w:p>
    <w:p w:rsidR="00CF084F" w:rsidRDefault="00CF084F">
      <w:pPr>
        <w:pStyle w:val="Body"/>
        <w:jc w:val="both"/>
        <w:rPr>
          <w:rFonts w:ascii="Arial" w:eastAsia="Arial" w:hAnsi="Arial" w:cs="Arial"/>
          <w:sz w:val="24"/>
          <w:szCs w:val="24"/>
        </w:rPr>
      </w:pPr>
    </w:p>
    <w:p w:rsidR="00CF084F" w:rsidRDefault="00346DCB">
      <w:pPr>
        <w:pStyle w:val="Heading"/>
        <w:spacing w:line="360" w:lineRule="auto"/>
        <w:jc w:val="both"/>
        <w:rPr>
          <w:rFonts w:ascii="Arial" w:eastAsia="Arial" w:hAnsi="Arial" w:cs="Arial"/>
          <w:sz w:val="24"/>
          <w:szCs w:val="24"/>
          <w:u w:val="single"/>
        </w:rPr>
      </w:pPr>
      <w:r>
        <w:rPr>
          <w:rFonts w:ascii="Arial" w:hAnsi="Arial"/>
          <w:sz w:val="24"/>
          <w:szCs w:val="24"/>
          <w:u w:val="single"/>
        </w:rPr>
        <w:t>Figures</w:t>
      </w:r>
    </w:p>
    <w:tbl>
      <w:tblPr>
        <w:tblW w:w="849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4247"/>
        <w:gridCol w:w="4247"/>
      </w:tblGrid>
      <w:tr w:rsidR="00CF084F" w:rsidRPr="00775106">
        <w:trPr>
          <w:trHeight w:val="279"/>
        </w:trPr>
        <w:tc>
          <w:tcPr>
            <w:tcW w:w="4247" w:type="dxa"/>
            <w:tcBorders>
              <w:top w:val="nil"/>
              <w:left w:val="nil"/>
              <w:bottom w:val="nil"/>
              <w:right w:val="nil"/>
            </w:tcBorders>
            <w:shd w:val="clear" w:color="auto" w:fill="auto"/>
            <w:tcMar>
              <w:top w:w="80" w:type="dxa"/>
              <w:left w:w="80" w:type="dxa"/>
              <w:bottom w:w="80" w:type="dxa"/>
              <w:right w:w="80" w:type="dxa"/>
            </w:tcMar>
          </w:tcPr>
          <w:p w:rsidR="00CF084F" w:rsidRPr="00775106" w:rsidRDefault="00346DCB">
            <w:pPr>
              <w:pStyle w:val="TableStyle2"/>
              <w:jc w:val="right"/>
              <w:rPr>
                <w:sz w:val="24"/>
                <w:szCs w:val="24"/>
              </w:rPr>
            </w:pPr>
            <w:r w:rsidRPr="00775106">
              <w:rPr>
                <w:rFonts w:ascii="Arial" w:hAnsi="Arial"/>
                <w:b/>
                <w:bCs/>
                <w:sz w:val="24"/>
                <w:szCs w:val="24"/>
              </w:rPr>
              <w:t>Figure</w:t>
            </w:r>
          </w:p>
        </w:tc>
        <w:tc>
          <w:tcPr>
            <w:tcW w:w="4247" w:type="dxa"/>
            <w:tcBorders>
              <w:top w:val="nil"/>
              <w:left w:val="nil"/>
              <w:bottom w:val="nil"/>
              <w:right w:val="nil"/>
            </w:tcBorders>
            <w:shd w:val="clear" w:color="auto" w:fill="auto"/>
            <w:tcMar>
              <w:top w:w="80" w:type="dxa"/>
              <w:left w:w="80" w:type="dxa"/>
              <w:bottom w:w="80" w:type="dxa"/>
              <w:right w:w="80" w:type="dxa"/>
            </w:tcMar>
          </w:tcPr>
          <w:p w:rsidR="00CF084F" w:rsidRPr="00775106" w:rsidRDefault="00817A89">
            <w:pPr>
              <w:pStyle w:val="TableStyle2"/>
              <w:rPr>
                <w:sz w:val="24"/>
                <w:szCs w:val="24"/>
              </w:rPr>
            </w:pPr>
            <w:r>
              <w:rPr>
                <w:rFonts w:ascii="Arial" w:hAnsi="Arial"/>
                <w:b/>
                <w:bCs/>
                <w:sz w:val="24"/>
                <w:szCs w:val="24"/>
              </w:rPr>
              <w:t>Title</w:t>
            </w:r>
          </w:p>
        </w:tc>
      </w:tr>
      <w:tr w:rsidR="00B06508" w:rsidRPr="00775106">
        <w:trPr>
          <w:trHeight w:val="433"/>
        </w:trPr>
        <w:tc>
          <w:tcPr>
            <w:tcW w:w="4247" w:type="dxa"/>
            <w:tcBorders>
              <w:top w:val="nil"/>
              <w:left w:val="nil"/>
              <w:bottom w:val="nil"/>
              <w:right w:val="nil"/>
            </w:tcBorders>
            <w:shd w:val="clear" w:color="auto" w:fill="auto"/>
            <w:tcMar>
              <w:top w:w="80" w:type="dxa"/>
              <w:left w:w="80" w:type="dxa"/>
              <w:bottom w:w="80" w:type="dxa"/>
              <w:right w:w="80" w:type="dxa"/>
            </w:tcMar>
          </w:tcPr>
          <w:p w:rsidR="00B06508" w:rsidRPr="00775106" w:rsidRDefault="00B06508">
            <w:pPr>
              <w:pStyle w:val="TableStyle2"/>
              <w:jc w:val="right"/>
              <w:rPr>
                <w:rFonts w:ascii="Arial" w:hAnsi="Arial"/>
                <w:b/>
                <w:bCs/>
                <w:sz w:val="24"/>
                <w:szCs w:val="24"/>
              </w:rPr>
            </w:pPr>
            <w:r>
              <w:rPr>
                <w:rFonts w:ascii="Arial" w:hAnsi="Arial"/>
                <w:b/>
                <w:bCs/>
                <w:sz w:val="24"/>
                <w:szCs w:val="24"/>
              </w:rPr>
              <w:t>Fig. 1</w:t>
            </w:r>
          </w:p>
        </w:tc>
        <w:tc>
          <w:tcPr>
            <w:tcW w:w="4247" w:type="dxa"/>
            <w:tcBorders>
              <w:top w:val="nil"/>
              <w:left w:val="nil"/>
              <w:bottom w:val="nil"/>
              <w:right w:val="nil"/>
            </w:tcBorders>
            <w:shd w:val="clear" w:color="auto" w:fill="auto"/>
            <w:tcMar>
              <w:top w:w="80" w:type="dxa"/>
              <w:left w:w="80" w:type="dxa"/>
              <w:bottom w:w="80" w:type="dxa"/>
              <w:right w:w="80" w:type="dxa"/>
            </w:tcMar>
          </w:tcPr>
          <w:p w:rsidR="00B06508" w:rsidRPr="00775106" w:rsidRDefault="00B06508">
            <w:pPr>
              <w:pStyle w:val="Body"/>
              <w:rPr>
                <w:rFonts w:ascii="Arial" w:hAnsi="Arial"/>
                <w:sz w:val="24"/>
                <w:szCs w:val="24"/>
              </w:rPr>
            </w:pPr>
            <w:r>
              <w:rPr>
                <w:rFonts w:ascii="Arial" w:hAnsi="Arial"/>
                <w:sz w:val="24"/>
                <w:szCs w:val="24"/>
              </w:rPr>
              <w:t>Domains of acute care. Ad</w:t>
            </w:r>
            <w:r w:rsidR="001939C4">
              <w:rPr>
                <w:rFonts w:ascii="Arial" w:hAnsi="Arial"/>
                <w:sz w:val="24"/>
                <w:szCs w:val="24"/>
              </w:rPr>
              <w:t>a</w:t>
            </w:r>
            <w:r>
              <w:rPr>
                <w:rFonts w:ascii="Arial" w:hAnsi="Arial"/>
                <w:sz w:val="24"/>
                <w:szCs w:val="24"/>
              </w:rPr>
              <w:t xml:space="preserve">pted from </w:t>
            </w:r>
            <w:proofErr w:type="spellStart"/>
            <w:r>
              <w:rPr>
                <w:rFonts w:ascii="Arial" w:hAnsi="Arial"/>
                <w:sz w:val="24"/>
                <w:szCs w:val="24"/>
              </w:rPr>
              <w:t>Hirshon</w:t>
            </w:r>
            <w:proofErr w:type="spellEnd"/>
            <w:r>
              <w:rPr>
                <w:rFonts w:ascii="Arial" w:hAnsi="Arial"/>
                <w:sz w:val="24"/>
                <w:szCs w:val="24"/>
              </w:rPr>
              <w:t xml:space="preserve"> et al. (2013).</w:t>
            </w:r>
          </w:p>
        </w:tc>
      </w:tr>
      <w:tr w:rsidR="00CF084F" w:rsidRPr="00775106">
        <w:trPr>
          <w:trHeight w:val="653"/>
        </w:trPr>
        <w:tc>
          <w:tcPr>
            <w:tcW w:w="4247" w:type="dxa"/>
            <w:tcBorders>
              <w:top w:val="nil"/>
              <w:left w:val="nil"/>
              <w:bottom w:val="nil"/>
              <w:right w:val="nil"/>
            </w:tcBorders>
            <w:shd w:val="clear" w:color="auto" w:fill="auto"/>
            <w:tcMar>
              <w:top w:w="80" w:type="dxa"/>
              <w:left w:w="80" w:type="dxa"/>
              <w:bottom w:w="80" w:type="dxa"/>
              <w:right w:w="80" w:type="dxa"/>
            </w:tcMar>
          </w:tcPr>
          <w:p w:rsidR="00CF084F" w:rsidRPr="00775106" w:rsidRDefault="00346DCB">
            <w:pPr>
              <w:pStyle w:val="TableStyle2"/>
              <w:jc w:val="right"/>
              <w:rPr>
                <w:sz w:val="24"/>
                <w:szCs w:val="24"/>
              </w:rPr>
            </w:pPr>
            <w:r w:rsidRPr="00775106">
              <w:rPr>
                <w:rFonts w:ascii="Arial" w:hAnsi="Arial"/>
                <w:b/>
                <w:bCs/>
                <w:sz w:val="24"/>
                <w:szCs w:val="24"/>
              </w:rPr>
              <w:lastRenderedPageBreak/>
              <w:t xml:space="preserve">Fig. </w:t>
            </w:r>
            <w:r w:rsidR="00C832C1">
              <w:rPr>
                <w:rFonts w:ascii="Arial" w:hAnsi="Arial"/>
                <w:b/>
                <w:bCs/>
                <w:sz w:val="24"/>
                <w:szCs w:val="24"/>
              </w:rPr>
              <w:t>2</w:t>
            </w:r>
          </w:p>
        </w:tc>
        <w:tc>
          <w:tcPr>
            <w:tcW w:w="4247" w:type="dxa"/>
            <w:tcBorders>
              <w:top w:val="nil"/>
              <w:left w:val="nil"/>
              <w:bottom w:val="nil"/>
              <w:right w:val="nil"/>
            </w:tcBorders>
            <w:shd w:val="clear" w:color="auto" w:fill="auto"/>
            <w:tcMar>
              <w:top w:w="80" w:type="dxa"/>
              <w:left w:w="80" w:type="dxa"/>
              <w:bottom w:w="80" w:type="dxa"/>
              <w:right w:w="80" w:type="dxa"/>
            </w:tcMar>
          </w:tcPr>
          <w:p w:rsidR="00CF084F" w:rsidRPr="00775106" w:rsidRDefault="00346DCB">
            <w:pPr>
              <w:pStyle w:val="TableStyle2"/>
              <w:rPr>
                <w:sz w:val="24"/>
                <w:szCs w:val="24"/>
              </w:rPr>
            </w:pPr>
            <w:r w:rsidRPr="00775106">
              <w:rPr>
                <w:rFonts w:ascii="Arial" w:hAnsi="Arial"/>
                <w:sz w:val="24"/>
                <w:szCs w:val="24"/>
              </w:rPr>
              <w:t>Visual representation of Potter &amp; Brough’s capacity-building framework. Adopted from Potter &amp; Brough (2004).</w:t>
            </w:r>
          </w:p>
        </w:tc>
      </w:tr>
      <w:tr w:rsidR="00775106" w:rsidRPr="00775106">
        <w:trPr>
          <w:trHeight w:val="433"/>
        </w:trPr>
        <w:tc>
          <w:tcPr>
            <w:tcW w:w="4247" w:type="dxa"/>
            <w:tcBorders>
              <w:top w:val="nil"/>
              <w:left w:val="nil"/>
              <w:bottom w:val="nil"/>
              <w:right w:val="nil"/>
            </w:tcBorders>
            <w:shd w:val="clear" w:color="auto" w:fill="auto"/>
            <w:tcMar>
              <w:top w:w="80" w:type="dxa"/>
              <w:left w:w="80" w:type="dxa"/>
              <w:bottom w:w="80" w:type="dxa"/>
              <w:right w:w="80" w:type="dxa"/>
            </w:tcMar>
          </w:tcPr>
          <w:p w:rsidR="00775106" w:rsidRPr="00775106" w:rsidRDefault="00775106" w:rsidP="00775106">
            <w:pPr>
              <w:pStyle w:val="TableStyle2"/>
              <w:jc w:val="right"/>
              <w:rPr>
                <w:sz w:val="24"/>
                <w:szCs w:val="24"/>
              </w:rPr>
            </w:pPr>
            <w:r w:rsidRPr="00775106">
              <w:rPr>
                <w:rFonts w:ascii="Arial" w:hAnsi="Arial"/>
                <w:b/>
                <w:bCs/>
                <w:sz w:val="24"/>
                <w:szCs w:val="24"/>
              </w:rPr>
              <w:t xml:space="preserve">Fig. </w:t>
            </w:r>
            <w:r w:rsidR="00C832C1">
              <w:rPr>
                <w:rFonts w:ascii="Arial" w:hAnsi="Arial"/>
                <w:b/>
                <w:bCs/>
                <w:sz w:val="24"/>
                <w:szCs w:val="24"/>
              </w:rPr>
              <w:t>3</w:t>
            </w:r>
          </w:p>
        </w:tc>
        <w:tc>
          <w:tcPr>
            <w:tcW w:w="4247" w:type="dxa"/>
            <w:tcBorders>
              <w:top w:val="nil"/>
              <w:left w:val="nil"/>
              <w:bottom w:val="nil"/>
              <w:right w:val="nil"/>
            </w:tcBorders>
            <w:shd w:val="clear" w:color="auto" w:fill="auto"/>
            <w:tcMar>
              <w:top w:w="80" w:type="dxa"/>
              <w:left w:w="80" w:type="dxa"/>
              <w:bottom w:w="80" w:type="dxa"/>
              <w:right w:w="80" w:type="dxa"/>
            </w:tcMar>
          </w:tcPr>
          <w:p w:rsidR="00775106" w:rsidRPr="00775106" w:rsidRDefault="00775106" w:rsidP="00775106">
            <w:pPr>
              <w:pStyle w:val="Body"/>
              <w:rPr>
                <w:sz w:val="24"/>
                <w:szCs w:val="24"/>
              </w:rPr>
            </w:pPr>
            <w:r w:rsidRPr="00775106">
              <w:rPr>
                <w:rFonts w:ascii="Arial" w:hAnsi="Arial"/>
                <w:sz w:val="24"/>
                <w:szCs w:val="24"/>
              </w:rPr>
              <w:t>Maps depicting locations of studies of acute services. Constructed on Google Maps.</w:t>
            </w:r>
          </w:p>
        </w:tc>
      </w:tr>
      <w:tr w:rsidR="00775106" w:rsidRPr="00775106">
        <w:trPr>
          <w:trHeight w:val="433"/>
        </w:trPr>
        <w:tc>
          <w:tcPr>
            <w:tcW w:w="4247" w:type="dxa"/>
            <w:tcBorders>
              <w:top w:val="nil"/>
              <w:left w:val="nil"/>
              <w:bottom w:val="nil"/>
              <w:right w:val="nil"/>
            </w:tcBorders>
            <w:shd w:val="clear" w:color="auto" w:fill="auto"/>
            <w:tcMar>
              <w:top w:w="80" w:type="dxa"/>
              <w:left w:w="80" w:type="dxa"/>
              <w:bottom w:w="80" w:type="dxa"/>
              <w:right w:w="80" w:type="dxa"/>
            </w:tcMar>
          </w:tcPr>
          <w:p w:rsidR="00775106" w:rsidRPr="00775106" w:rsidRDefault="00775106" w:rsidP="00775106">
            <w:pPr>
              <w:pStyle w:val="TableStyle2"/>
              <w:jc w:val="right"/>
              <w:rPr>
                <w:sz w:val="24"/>
                <w:szCs w:val="24"/>
              </w:rPr>
            </w:pPr>
            <w:r w:rsidRPr="00775106">
              <w:rPr>
                <w:rFonts w:ascii="Arial" w:hAnsi="Arial"/>
                <w:b/>
                <w:bCs/>
                <w:sz w:val="24"/>
                <w:szCs w:val="24"/>
              </w:rPr>
              <w:t xml:space="preserve">Fig. </w:t>
            </w:r>
            <w:r w:rsidR="00C832C1">
              <w:rPr>
                <w:rFonts w:ascii="Arial" w:hAnsi="Arial"/>
                <w:b/>
                <w:bCs/>
                <w:sz w:val="24"/>
                <w:szCs w:val="24"/>
              </w:rPr>
              <w:t>4</w:t>
            </w:r>
          </w:p>
        </w:tc>
        <w:tc>
          <w:tcPr>
            <w:tcW w:w="4247" w:type="dxa"/>
            <w:tcBorders>
              <w:top w:val="nil"/>
              <w:left w:val="nil"/>
              <w:bottom w:val="nil"/>
              <w:right w:val="nil"/>
            </w:tcBorders>
            <w:shd w:val="clear" w:color="auto" w:fill="auto"/>
            <w:tcMar>
              <w:top w:w="80" w:type="dxa"/>
              <w:left w:w="80" w:type="dxa"/>
              <w:bottom w:w="80" w:type="dxa"/>
              <w:right w:w="80" w:type="dxa"/>
            </w:tcMar>
          </w:tcPr>
          <w:p w:rsidR="00775106" w:rsidRPr="00775106" w:rsidRDefault="00775106" w:rsidP="00775106">
            <w:pPr>
              <w:pStyle w:val="TableTitle1"/>
              <w:jc w:val="left"/>
            </w:pPr>
            <w:r w:rsidRPr="00775106">
              <w:rPr>
                <w:rFonts w:ascii="Arial" w:hAnsi="Arial"/>
              </w:rPr>
              <w:t xml:space="preserve">No. of studies by countries’ level of income (World Bank classification) </w:t>
            </w:r>
          </w:p>
        </w:tc>
      </w:tr>
      <w:tr w:rsidR="00775106" w:rsidRPr="00775106">
        <w:trPr>
          <w:trHeight w:val="653"/>
        </w:trPr>
        <w:tc>
          <w:tcPr>
            <w:tcW w:w="4247" w:type="dxa"/>
            <w:tcBorders>
              <w:top w:val="nil"/>
              <w:left w:val="nil"/>
              <w:bottom w:val="nil"/>
              <w:right w:val="nil"/>
            </w:tcBorders>
            <w:shd w:val="clear" w:color="auto" w:fill="auto"/>
            <w:tcMar>
              <w:top w:w="80" w:type="dxa"/>
              <w:left w:w="80" w:type="dxa"/>
              <w:bottom w:w="80" w:type="dxa"/>
              <w:right w:w="80" w:type="dxa"/>
            </w:tcMar>
          </w:tcPr>
          <w:p w:rsidR="00775106" w:rsidRPr="00775106" w:rsidRDefault="00775106" w:rsidP="00775106">
            <w:pPr>
              <w:pStyle w:val="TableStyle2"/>
              <w:jc w:val="right"/>
              <w:rPr>
                <w:sz w:val="24"/>
                <w:szCs w:val="24"/>
              </w:rPr>
            </w:pPr>
            <w:r w:rsidRPr="00775106">
              <w:rPr>
                <w:rFonts w:ascii="Arial" w:hAnsi="Arial"/>
                <w:b/>
                <w:bCs/>
                <w:sz w:val="24"/>
                <w:szCs w:val="24"/>
              </w:rPr>
              <w:t xml:space="preserve">Fig. </w:t>
            </w:r>
            <w:r w:rsidR="00C832C1">
              <w:rPr>
                <w:rFonts w:ascii="Arial" w:hAnsi="Arial"/>
                <w:b/>
                <w:bCs/>
                <w:sz w:val="24"/>
                <w:szCs w:val="24"/>
              </w:rPr>
              <w:t>5</w:t>
            </w:r>
          </w:p>
        </w:tc>
        <w:tc>
          <w:tcPr>
            <w:tcW w:w="4247" w:type="dxa"/>
            <w:tcBorders>
              <w:top w:val="nil"/>
              <w:left w:val="nil"/>
              <w:bottom w:val="nil"/>
              <w:right w:val="nil"/>
            </w:tcBorders>
            <w:shd w:val="clear" w:color="auto" w:fill="auto"/>
            <w:tcMar>
              <w:top w:w="80" w:type="dxa"/>
              <w:left w:w="80" w:type="dxa"/>
              <w:bottom w:w="80" w:type="dxa"/>
              <w:right w:w="80" w:type="dxa"/>
            </w:tcMar>
          </w:tcPr>
          <w:p w:rsidR="00775106" w:rsidRPr="00775106" w:rsidRDefault="00775106" w:rsidP="00775106">
            <w:pPr>
              <w:pStyle w:val="TableTitle1"/>
              <w:jc w:val="left"/>
            </w:pPr>
            <w:r w:rsidRPr="00775106">
              <w:rPr>
                <w:rFonts w:ascii="Arial" w:hAnsi="Arial"/>
              </w:rPr>
              <w:t>Domains of capacity elements related to human resources covered in articles (expressed as %)</w:t>
            </w:r>
          </w:p>
        </w:tc>
      </w:tr>
    </w:tbl>
    <w:p w:rsidR="00CF084F" w:rsidRDefault="00CF084F" w:rsidP="004A0764">
      <w:pPr>
        <w:pStyle w:val="Body"/>
        <w:jc w:val="both"/>
        <w:rPr>
          <w:rFonts w:ascii="Arial" w:eastAsia="Arial" w:hAnsi="Arial" w:cs="Arial"/>
          <w:sz w:val="24"/>
          <w:szCs w:val="24"/>
        </w:rPr>
      </w:pPr>
    </w:p>
    <w:p w:rsidR="00CF084F" w:rsidRDefault="00CF084F">
      <w:pPr>
        <w:pStyle w:val="Body"/>
        <w:jc w:val="both"/>
      </w:pPr>
    </w:p>
    <w:p w:rsidR="00CF084F" w:rsidRDefault="00346DCB">
      <w:pPr>
        <w:pStyle w:val="Body"/>
        <w:spacing w:line="288" w:lineRule="auto"/>
        <w:jc w:val="both"/>
        <w:rPr>
          <w:rFonts w:ascii="Arial" w:eastAsia="Arial" w:hAnsi="Arial" w:cs="Arial"/>
          <w:b/>
          <w:bCs/>
          <w:sz w:val="24"/>
          <w:szCs w:val="24"/>
          <w:u w:val="single"/>
        </w:rPr>
      </w:pPr>
      <w:r>
        <w:rPr>
          <w:rFonts w:ascii="Arial" w:hAnsi="Arial"/>
          <w:b/>
          <w:bCs/>
          <w:sz w:val="24"/>
          <w:szCs w:val="24"/>
          <w:u w:val="single"/>
          <w:lang w:val="en-US"/>
        </w:rPr>
        <w:t>References</w:t>
      </w:r>
    </w:p>
    <w:p w:rsidR="00CF084F" w:rsidRDefault="00CF084F">
      <w:pPr>
        <w:pStyle w:val="Body"/>
        <w:spacing w:line="288" w:lineRule="auto"/>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1. Hsia R, Razzak J, Tsai AC, Hirshon JM. Placing emergency care on the global agenda. Ann Emerg Med [Internet]. Elsevier Inc.; 2010;56(2):142</w:t>
      </w:r>
      <w:r>
        <w:rPr>
          <w:rFonts w:ascii="Arial" w:hAnsi="Arial"/>
          <w:sz w:val="24"/>
          <w:szCs w:val="24"/>
        </w:rPr>
        <w:t>–</w:t>
      </w:r>
      <w:r>
        <w:rPr>
          <w:rFonts w:ascii="Arial" w:hAnsi="Arial"/>
          <w:sz w:val="24"/>
          <w:szCs w:val="24"/>
          <w:lang w:val="en-US"/>
        </w:rPr>
        <w:t xml:space="preserve">9. Available from: </w:t>
      </w:r>
      <w:hyperlink r:id="rId8" w:history="1">
        <w:r>
          <w:rPr>
            <w:rStyle w:val="Hyperlink1"/>
            <w:rFonts w:ascii="Arial" w:hAnsi="Arial"/>
            <w:sz w:val="24"/>
            <w:szCs w:val="24"/>
            <w:lang w:val="de-DE"/>
          </w:rPr>
          <w:t>http://dx.doi.org/10.1016/j.annemergmed.2010.01.013</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2. World Health Organisation. WHA60.22 Health systems: emergency-care systems. 2007;(May):21</w:t>
      </w:r>
      <w:r>
        <w:rPr>
          <w:rFonts w:ascii="Arial" w:hAnsi="Arial"/>
          <w:sz w:val="24"/>
          <w:szCs w:val="24"/>
        </w:rPr>
        <w:t xml:space="preserve">–3.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3. Chen L, Evans T, Anand S, Ivey Boufford J, Brown H, Chowdhury M, et al. Human resources for health: Overcoming the crisis. Lancet. 2004;364(9449):1984</w:t>
      </w:r>
      <w:r>
        <w:rPr>
          <w:rFonts w:ascii="Arial" w:hAnsi="Arial"/>
          <w:sz w:val="24"/>
          <w:szCs w:val="24"/>
        </w:rPr>
        <w:t xml:space="preserve">–90.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4. Bloor K, Maynard A. Planning human resources in health care: Towards an economic approach An international comparative review. 2003;(March).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5. Hernandez P, Dr</w:t>
      </w:r>
      <w:r>
        <w:rPr>
          <w:rFonts w:ascii="Arial" w:hAnsi="Arial"/>
          <w:sz w:val="24"/>
          <w:szCs w:val="24"/>
        </w:rPr>
        <w:t>ä</w:t>
      </w:r>
      <w:r>
        <w:rPr>
          <w:rFonts w:ascii="Arial" w:hAnsi="Arial"/>
          <w:sz w:val="24"/>
          <w:szCs w:val="24"/>
          <w:lang w:val="en-US"/>
        </w:rPr>
        <w:t>ger S, Evans DB, Edejer TT, Poz MRD. Measuring expenditure for the health workforce : evidence and challenges. 2006.</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6. Aluttis C, Bishaw T, Frank MW. The workforce for health in a globalized context - global shortages and international migration. Glob Health Action. 2014;7(SUPP.1):1</w:t>
      </w:r>
      <w:r>
        <w:rPr>
          <w:rFonts w:ascii="Arial" w:hAnsi="Arial"/>
          <w:sz w:val="24"/>
          <w:szCs w:val="24"/>
        </w:rPr>
        <w:t xml:space="preserve">–7.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7. Hirshon JM, Risko N, Calvello JB, Ramirez S De, Narayan M. Health systems and services: the role of acute care. 2013;(January):386</w:t>
      </w:r>
      <w:r>
        <w:rPr>
          <w:rFonts w:ascii="Arial" w:hAnsi="Arial"/>
          <w:sz w:val="24"/>
          <w:szCs w:val="24"/>
        </w:rPr>
        <w:t xml:space="preserve">–8.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8. Anderson P, Petrino R, Halpern P, Tintinalli J. The globalization of emergency medicine and its importance for public health. Bull World Health Organ. 2006;84(10):835</w:t>
      </w:r>
      <w:r>
        <w:rPr>
          <w:rFonts w:ascii="Arial" w:hAnsi="Arial"/>
          <w:sz w:val="24"/>
          <w:szCs w:val="24"/>
        </w:rPr>
        <w:t xml:space="preserve">–9.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9. World Health Organisation. WHO Global Initiative for Emergency and Essential Surgical Care Sixth Biennial and Tenth Anniversary Meeting. 2015.</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10. Health Education England. Emergency Medicine: Taskforce Report. 2013;3(5):3</w:t>
      </w:r>
      <w:r>
        <w:rPr>
          <w:rFonts w:ascii="Arial" w:hAnsi="Arial"/>
          <w:sz w:val="24"/>
          <w:szCs w:val="24"/>
        </w:rPr>
        <w:t xml:space="preserve">–5.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11. </w:t>
      </w:r>
      <w:r>
        <w:rPr>
          <w:rFonts w:ascii="Arial" w:hAnsi="Arial"/>
          <w:sz w:val="24"/>
          <w:szCs w:val="24"/>
        </w:rPr>
        <w:t>O’</w:t>
      </w:r>
      <w:r>
        <w:rPr>
          <w:rFonts w:ascii="Arial" w:hAnsi="Arial"/>
          <w:sz w:val="24"/>
          <w:szCs w:val="24"/>
          <w:lang w:val="en-US"/>
        </w:rPr>
        <w:t xml:space="preserve">Dowd A. Locums make up a fifth of doctors in emergency units at weekends. BMJ. 2013;346(February).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12. WHO. Working together for health. 2006.</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lastRenderedPageBreak/>
        <w:t>13. Potter C, Brough R. Systemic capacity building: A hierarchy of needs. Health Policy Plan. 2004;19(5):336</w:t>
      </w:r>
      <w:r>
        <w:rPr>
          <w:rFonts w:ascii="Arial" w:hAnsi="Arial"/>
          <w:sz w:val="24"/>
          <w:szCs w:val="24"/>
        </w:rPr>
        <w:t xml:space="preserve">–45.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14. Acerra JR, Iskyan K, Qureshi ZA. Rebuilding the health care system in Afghanistan : an overview of primary care and emergency services. Int J Emerg Med. 2009;77</w:t>
      </w:r>
      <w:r>
        <w:rPr>
          <w:rFonts w:ascii="Arial" w:hAnsi="Arial"/>
          <w:sz w:val="24"/>
          <w:szCs w:val="24"/>
        </w:rPr>
        <w:t xml:space="preserve">–82.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15. Rashid L, Afzali E, Donaldson R, Lazar P, Bundesmann R, Rashid S. A structured assessment of emergency and acute care providers in Afghanistan during the current conflict. Int J Emerg Med [Internet]. International Journal of Emergency Medicine; 2015; Available from: </w:t>
      </w:r>
      <w:hyperlink r:id="rId9" w:history="1">
        <w:r>
          <w:rPr>
            <w:rStyle w:val="Hyperlink1"/>
            <w:rFonts w:ascii="Arial" w:hAnsi="Arial"/>
            <w:sz w:val="24"/>
            <w:szCs w:val="24"/>
          </w:rPr>
          <w:t>http://dx.doi.org/10.1186/s12245-015-0069-0</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16. Contini S, Taqdeer A, Cherian M, Shokohmand AS, Gosselin R, Graaff P, et al. Emergency and essential surgical services in Afghanistan: Still a missing challenge. World J Surg. 2010;34(3):473</w:t>
      </w:r>
      <w:r>
        <w:rPr>
          <w:rFonts w:ascii="Arial" w:hAnsi="Arial"/>
          <w:sz w:val="24"/>
          <w:szCs w:val="24"/>
        </w:rPr>
        <w:t>–9.</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17. Subhan I, Jain A. Emergency care in India: The building blocks. Int J Emerg Med. 2010;3(4):207</w:t>
      </w:r>
      <w:r>
        <w:rPr>
          <w:rFonts w:ascii="Arial" w:hAnsi="Arial"/>
          <w:sz w:val="24"/>
          <w:szCs w:val="24"/>
        </w:rPr>
        <w:t xml:space="preserve">–11.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18. Pandey NR. Emergency medicine in Nepal: present practice and direction for future. Int J Emerg Med [Internet]. International Journal of Emergency Medicine; 2016;9(1):20. Available from: </w:t>
      </w:r>
      <w:hyperlink r:id="rId10" w:history="1">
        <w:r>
          <w:rPr>
            <w:rStyle w:val="Hyperlink1"/>
            <w:rFonts w:ascii="Arial" w:hAnsi="Arial"/>
            <w:sz w:val="24"/>
            <w:szCs w:val="24"/>
            <w:lang w:val="en-US"/>
          </w:rPr>
          <w:t>http://intjem.springeropen.com/articles/10.1186/s12245-016-0118-3</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19. Taira BR, Cherian MN, Yakandawala H, Kesavan R, Samarage SM, Desilva M. Survey of emergency and surgical capacity in the conflict-affected regions of Sri Lanka. World J Surg. 2010;34(3):428</w:t>
      </w:r>
      <w:r>
        <w:rPr>
          <w:rFonts w:ascii="Arial" w:hAnsi="Arial"/>
          <w:sz w:val="24"/>
          <w:szCs w:val="24"/>
        </w:rPr>
        <w:t xml:space="preserve">–32.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20. </w:t>
      </w:r>
      <w:r>
        <w:rPr>
          <w:rFonts w:ascii="Arial" w:hAnsi="Arial"/>
          <w:sz w:val="24"/>
          <w:szCs w:val="24"/>
        </w:rPr>
        <w:t xml:space="preserve"> Sule H, Kazimov S, Shahmaliyev O, Sirois A. State of emergency medicine in Azerbaijan. Int J Emerg Med [Internet]. 2008;1(1):3–</w:t>
      </w:r>
      <w:r>
        <w:rPr>
          <w:rFonts w:ascii="Arial" w:hAnsi="Arial"/>
          <w:sz w:val="24"/>
          <w:szCs w:val="24"/>
          <w:lang w:val="en-US"/>
        </w:rPr>
        <w:t>9. Available from: acute; case-study</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21. Cevik AA, Rodoplu U, Holliman CJ. Update on the development of emergency medicine as a specialty in Turkey. Eur J Emerg Med. 2001;8(2):123</w:t>
      </w:r>
      <w:r>
        <w:rPr>
          <w:rFonts w:ascii="Arial" w:hAnsi="Arial"/>
          <w:sz w:val="24"/>
          <w:szCs w:val="24"/>
        </w:rPr>
        <w:t xml:space="preserve">–9.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22. Wen LS, Xu J, Steptoe AP, Sullivan AF, Walline JH, Yu X, et al. Emergency department characteristics and capabilities in Beijing, China. J Emerg Med. 2013;44(6):1174</w:t>
      </w:r>
      <w:r>
        <w:rPr>
          <w:rFonts w:ascii="Arial" w:hAnsi="Arial"/>
          <w:sz w:val="24"/>
          <w:szCs w:val="24"/>
        </w:rPr>
        <w:t xml:space="preserve">–9.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23. </w:t>
      </w:r>
      <w:r>
        <w:rPr>
          <w:rFonts w:ascii="Arial" w:hAnsi="Arial"/>
          <w:sz w:val="24"/>
          <w:szCs w:val="24"/>
        </w:rPr>
        <w:t>Mc</w:t>
      </w:r>
      <w:r>
        <w:rPr>
          <w:rFonts w:ascii="Arial" w:hAnsi="Arial"/>
          <w:sz w:val="24"/>
          <w:szCs w:val="24"/>
          <w:lang w:val="en-US"/>
        </w:rPr>
        <w:t>D</w:t>
      </w:r>
      <w:r>
        <w:rPr>
          <w:rFonts w:ascii="Arial" w:hAnsi="Arial"/>
          <w:sz w:val="24"/>
          <w:szCs w:val="24"/>
          <w:lang w:val="nl-NL"/>
        </w:rPr>
        <w:t>onald A, Surg DM, Williams-</w:t>
      </w:r>
      <w:r>
        <w:rPr>
          <w:rFonts w:ascii="Arial" w:hAnsi="Arial"/>
          <w:sz w:val="24"/>
          <w:szCs w:val="24"/>
          <w:lang w:val="en-US"/>
        </w:rPr>
        <w:t>Johnson J, Med DME, Williams E, Med DME, et al. Emergency medicine in Jamaica. 2017;7(5):340</w:t>
      </w:r>
      <w:r>
        <w:rPr>
          <w:rFonts w:ascii="Arial" w:hAnsi="Arial"/>
          <w:sz w:val="24"/>
          <w:szCs w:val="24"/>
        </w:rPr>
        <w:t xml:space="preserve">–3.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24. Williams EW, Williams-Johnson J, McDonald a H, French S, Hutson R, Singh P, et al. The evolution of emergency medicine in Jamaica. West Indian Med J [Internet]. 2008;57(2):161</w:t>
      </w:r>
      <w:r>
        <w:rPr>
          <w:rFonts w:ascii="Arial" w:hAnsi="Arial"/>
          <w:sz w:val="24"/>
          <w:szCs w:val="24"/>
        </w:rPr>
        <w:t>–</w:t>
      </w:r>
      <w:r>
        <w:rPr>
          <w:rFonts w:ascii="Arial" w:hAnsi="Arial"/>
          <w:sz w:val="24"/>
          <w:szCs w:val="24"/>
          <w:lang w:val="en-US"/>
        </w:rPr>
        <w:t xml:space="preserve">5. Available from: </w:t>
      </w:r>
      <w:hyperlink r:id="rId11" w:history="1">
        <w:r>
          <w:rPr>
            <w:rStyle w:val="Hyperlink1"/>
            <w:rFonts w:ascii="Arial" w:hAnsi="Arial"/>
            <w:sz w:val="24"/>
            <w:szCs w:val="24"/>
            <w:lang w:val="en-US"/>
          </w:rPr>
          <w:t>http://www.ncbi.nlm.nih.gov/pubmed/19565961</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25.  Crandon IW, Harding HE, Cawich SO, Williams EW, Williams-Johnson J. Emergency department physician training in Jamaica: a national public hospital survey. BMC Emerg Med [Internet]. 2008;8(1):11. Available from: </w:t>
      </w:r>
      <w:hyperlink r:id="rId12" w:history="1">
        <w:r>
          <w:rPr>
            <w:rStyle w:val="Hyperlink1"/>
            <w:rFonts w:ascii="Arial" w:hAnsi="Arial"/>
            <w:sz w:val="24"/>
            <w:szCs w:val="24"/>
            <w:lang w:val="en-US"/>
          </w:rPr>
          <w:t>http://bmcemergmed.biomedcentral.com/articles/10.1186/1471-227X-8-11</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26. Boros MJ. Emergency Medical Services in St. Vincent and the Grenadines. Prehospital Emerg Care. 2009;3127(May). </w:t>
      </w:r>
    </w:p>
    <w:p w:rsidR="00CF084F" w:rsidRDefault="00CF084F">
      <w:pPr>
        <w:pStyle w:val="Body"/>
        <w:jc w:val="both"/>
        <w:rPr>
          <w:rFonts w:ascii="Arial" w:eastAsia="Arial" w:hAnsi="Arial" w:cs="Arial"/>
          <w:sz w:val="24"/>
          <w:szCs w:val="24"/>
        </w:rPr>
      </w:pP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lastRenderedPageBreak/>
        <w:t>27. Coyle RM, Harrison H-L. Emergency care capacity in Freetown, Sierra Leone: a service evaluation. BMC Emerg Med [Internet]. 2015;15(1):2. Available from: http://bmcemergmed.biomedcentral.com/articles/10.1186/s12873-015-0027-4</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sidRPr="001E44FB">
        <w:rPr>
          <w:rFonts w:ascii="Arial" w:hAnsi="Arial"/>
          <w:sz w:val="24"/>
          <w:szCs w:val="24"/>
          <w:lang w:val="fr-FR"/>
        </w:rPr>
        <w:t xml:space="preserve">28. Kingham TP, Kamara T, Cherian M, Gosselin R, Simkins M, Meissner C, et al. </w:t>
      </w:r>
      <w:r>
        <w:rPr>
          <w:rFonts w:ascii="Arial" w:hAnsi="Arial"/>
          <w:sz w:val="24"/>
          <w:szCs w:val="24"/>
          <w:lang w:val="en-US"/>
        </w:rPr>
        <w:t xml:space="preserve">Quantifying Surgical Capacity in Sierra Leone. Arch Surg [Internet]. 2009;144(2):122. Available from: </w:t>
      </w:r>
      <w:hyperlink r:id="rId13" w:history="1">
        <w:r>
          <w:rPr>
            <w:rStyle w:val="Hyperlink1"/>
            <w:rFonts w:ascii="Arial" w:hAnsi="Arial"/>
            <w:sz w:val="24"/>
            <w:szCs w:val="24"/>
            <w:lang w:val="de-DE"/>
          </w:rPr>
          <w:t>http://archsurg.jamanetwork.com/article.aspx?doi=10.1001/archsurg.2008.540</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sidRPr="001E44FB">
        <w:rPr>
          <w:rFonts w:ascii="Arial" w:hAnsi="Arial"/>
          <w:sz w:val="24"/>
          <w:szCs w:val="24"/>
          <w:lang w:val="fr-FR"/>
        </w:rPr>
        <w:t xml:space="preserve">29. A-Rahman NHA, Jacquet GA. </w:t>
      </w:r>
      <w:r>
        <w:rPr>
          <w:rFonts w:ascii="Arial" w:hAnsi="Arial"/>
          <w:sz w:val="24"/>
          <w:szCs w:val="24"/>
          <w:lang w:val="en-US"/>
        </w:rPr>
        <w:t>The state of emergency care in the Republic of the Sudan. African J Emerg Med [Internet]. African Federation for Emergency Medicine; 2014;4(2):55</w:t>
      </w:r>
      <w:r>
        <w:rPr>
          <w:rFonts w:ascii="Arial" w:hAnsi="Arial"/>
          <w:sz w:val="24"/>
          <w:szCs w:val="24"/>
        </w:rPr>
        <w:t>–</w:t>
      </w:r>
      <w:r>
        <w:rPr>
          <w:rFonts w:ascii="Arial" w:hAnsi="Arial"/>
          <w:sz w:val="24"/>
          <w:szCs w:val="24"/>
          <w:lang w:val="en-US"/>
        </w:rPr>
        <w:t xml:space="preserve">60. Available from: </w:t>
      </w:r>
      <w:hyperlink r:id="rId14" w:history="1">
        <w:r>
          <w:rPr>
            <w:rStyle w:val="Hyperlink1"/>
            <w:rFonts w:ascii="Arial" w:hAnsi="Arial"/>
            <w:sz w:val="24"/>
            <w:szCs w:val="24"/>
            <w:lang w:val="de-DE"/>
          </w:rPr>
          <w:t>http://dx.doi.org/10.1016/j.afjem.2013.12.002</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30. Baker T, Lugazia E, Eriksen J, Mwafongo V, Irestedt L, Konrad D. Emergency and critical care services in Tanzania: a survey of ten hospitals. BMC Health Serv Res [Internet]. 2013;13(1):140. Available from: </w:t>
      </w:r>
      <w:hyperlink r:id="rId15" w:history="1">
        <w:r>
          <w:rPr>
            <w:rStyle w:val="Hyperlink1"/>
            <w:rFonts w:ascii="Arial" w:hAnsi="Arial"/>
            <w:sz w:val="24"/>
            <w:szCs w:val="24"/>
            <w:lang w:val="en-US"/>
          </w:rPr>
          <w:t>http://bmchealthservres.biomedcentral.com/articles/10.1186/1472-6963-13-140</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31. Nicks BA, Sawe HR, Juma AM, Reynolds TA. The state of emergency medicine in the United Republic of Tanzania. African J Emerg Med [Internet]. African Federation for Emergency Medicine; 2012;2(3):97</w:t>
      </w:r>
      <w:r>
        <w:rPr>
          <w:rFonts w:ascii="Arial" w:hAnsi="Arial"/>
          <w:sz w:val="24"/>
          <w:szCs w:val="24"/>
        </w:rPr>
        <w:t>–</w:t>
      </w:r>
      <w:r>
        <w:rPr>
          <w:rFonts w:ascii="Arial" w:hAnsi="Arial"/>
          <w:sz w:val="24"/>
          <w:szCs w:val="24"/>
          <w:lang w:val="en-US"/>
        </w:rPr>
        <w:t xml:space="preserve">102. Available from: </w:t>
      </w:r>
      <w:hyperlink r:id="rId16" w:history="1">
        <w:r>
          <w:rPr>
            <w:rStyle w:val="Hyperlink1"/>
            <w:rFonts w:ascii="Arial" w:hAnsi="Arial"/>
            <w:sz w:val="24"/>
            <w:szCs w:val="24"/>
            <w:lang w:val="de-DE"/>
          </w:rPr>
          <w:t>http://dx.doi.org/10.1016/j.afjem.2012.06.002</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32. Reynolds TA, Mfinanga JA, Sawe HR, Runyon MS, Mwafongo V. Emergency care capacity in Africa: A clinical and educational initiative in Tanzania. J Public Health Policy [Internet]. Nature Publishing Group; 2012;33(S1):S126</w:t>
      </w:r>
      <w:r>
        <w:rPr>
          <w:rFonts w:ascii="Arial" w:hAnsi="Arial"/>
          <w:sz w:val="24"/>
          <w:szCs w:val="24"/>
        </w:rPr>
        <w:t>–</w:t>
      </w:r>
      <w:r>
        <w:rPr>
          <w:rFonts w:ascii="Arial" w:hAnsi="Arial"/>
          <w:sz w:val="24"/>
          <w:szCs w:val="24"/>
          <w:lang w:val="en-US"/>
        </w:rPr>
        <w:t xml:space="preserve">37. Available from: </w:t>
      </w:r>
      <w:hyperlink r:id="rId17" w:history="1">
        <w:r>
          <w:rPr>
            <w:rStyle w:val="Hyperlink1"/>
            <w:rFonts w:ascii="Arial" w:hAnsi="Arial"/>
            <w:sz w:val="24"/>
            <w:szCs w:val="24"/>
          </w:rPr>
          <w:t>http://link.springer.com/10.1057/jphp.2012.41</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sidRPr="003E75FA">
        <w:rPr>
          <w:rFonts w:ascii="Arial" w:hAnsi="Arial"/>
          <w:sz w:val="24"/>
          <w:szCs w:val="24"/>
          <w:lang w:val="fr-FR"/>
        </w:rPr>
        <w:t xml:space="preserve">33. Penoyar T, Cohen H, Kibatala P, Magoda A, Saguti G, Noel L, et al. </w:t>
      </w:r>
      <w:r>
        <w:rPr>
          <w:rFonts w:ascii="Arial" w:hAnsi="Arial"/>
          <w:sz w:val="24"/>
          <w:szCs w:val="24"/>
          <w:lang w:val="en-US"/>
        </w:rPr>
        <w:t xml:space="preserve">Emergency and surgery services of primary hospitals in the United Republic of Tanzania. BMJ Open [Internet]. 2012;2(1):e000369. Available from: </w:t>
      </w:r>
      <w:hyperlink r:id="rId18" w:history="1">
        <w:r>
          <w:rPr>
            <w:rStyle w:val="Hyperlink1"/>
            <w:rFonts w:ascii="Arial" w:hAnsi="Arial"/>
            <w:sz w:val="24"/>
            <w:szCs w:val="24"/>
          </w:rPr>
          <w:t>http://bmjopen.bmj.com/lookup/doi/10.1136/bmjopen-2011-000369</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34. Wallis LA, Garach SR, Kropman A. State of emergency medicine in South Africa. Int J Emerg Med [Internet]. 2008;1(2):69</w:t>
      </w:r>
      <w:r>
        <w:rPr>
          <w:rFonts w:ascii="Arial" w:hAnsi="Arial"/>
          <w:sz w:val="24"/>
          <w:szCs w:val="24"/>
        </w:rPr>
        <w:t>–</w:t>
      </w:r>
      <w:r>
        <w:rPr>
          <w:rFonts w:ascii="Arial" w:hAnsi="Arial"/>
          <w:sz w:val="24"/>
          <w:szCs w:val="24"/>
          <w:lang w:val="en-US"/>
        </w:rPr>
        <w:t xml:space="preserve">71. Available from: </w:t>
      </w:r>
      <w:hyperlink r:id="rId19" w:history="1">
        <w:r>
          <w:rPr>
            <w:rStyle w:val="Hyperlink1"/>
            <w:rFonts w:ascii="Arial" w:hAnsi="Arial"/>
            <w:sz w:val="24"/>
            <w:szCs w:val="24"/>
            <w:lang w:val="en-US"/>
          </w:rPr>
          <w:t>http://www.springerlink.com/index/10.1007/s12245-008-0033-3</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35. Wen LS, Oshiomogho JI, Eluwa GI, Steptoe AP, Sullivan AF, Camargo CA. Characteristics and capabilities of emergency departments in Abuja, Nigeria. Emerg Med J [Internet]. 2012;29(10):798</w:t>
      </w:r>
      <w:r>
        <w:rPr>
          <w:rFonts w:ascii="Arial" w:hAnsi="Arial"/>
          <w:sz w:val="24"/>
          <w:szCs w:val="24"/>
        </w:rPr>
        <w:t>–</w:t>
      </w:r>
      <w:r>
        <w:rPr>
          <w:rFonts w:ascii="Arial" w:hAnsi="Arial"/>
          <w:sz w:val="24"/>
          <w:szCs w:val="24"/>
          <w:lang w:val="en-US"/>
        </w:rPr>
        <w:t xml:space="preserve">801. Available from: </w:t>
      </w:r>
      <w:hyperlink r:id="rId20" w:history="1">
        <w:r>
          <w:rPr>
            <w:rStyle w:val="Hyperlink1"/>
            <w:rFonts w:ascii="Arial" w:hAnsi="Arial"/>
            <w:sz w:val="24"/>
            <w:szCs w:val="24"/>
            <w:lang w:val="en-US"/>
          </w:rPr>
          <w:t>http://emj.bmj.com/lookup/doi/10.1136/emermed-2011-200695</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36. Westcott M, Martiniuk ALC, Fowler RA, Adhikari NKJ, Dalipanda T. Critical care resources in the Solomon Islands: a cross-sectional survey. BMC Int Health Hum Rights [Internet]. 2012;12(1):1</w:t>
      </w:r>
      <w:r>
        <w:rPr>
          <w:rFonts w:ascii="Arial" w:hAnsi="Arial"/>
          <w:sz w:val="24"/>
          <w:szCs w:val="24"/>
        </w:rPr>
        <w:t>–</w:t>
      </w:r>
      <w:r>
        <w:rPr>
          <w:rFonts w:ascii="Arial" w:hAnsi="Arial"/>
          <w:sz w:val="24"/>
          <w:szCs w:val="24"/>
          <w:lang w:val="en-US"/>
        </w:rPr>
        <w:t xml:space="preserve">9. Available from: </w:t>
      </w:r>
      <w:hyperlink r:id="rId21" w:history="1">
        <w:r>
          <w:rPr>
            <w:rStyle w:val="Hyperlink1"/>
            <w:rFonts w:ascii="Arial" w:hAnsi="Arial"/>
            <w:sz w:val="24"/>
            <w:szCs w:val="24"/>
            <w:lang w:val="en-US"/>
          </w:rPr>
          <w:t>http://www.biomedcentral.com/1472-698X/12/1</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37. Bustos Y, Castro J, Wen LS, Sullivan AF, Chen DK, Camargo CA. Emergency department characteristics and capabilities in Bogot</w:t>
      </w:r>
      <w:r>
        <w:rPr>
          <w:rFonts w:ascii="Arial" w:hAnsi="Arial"/>
          <w:sz w:val="24"/>
          <w:szCs w:val="24"/>
        </w:rPr>
        <w:t>á</w:t>
      </w:r>
      <w:r>
        <w:rPr>
          <w:rFonts w:ascii="Arial" w:hAnsi="Arial"/>
          <w:sz w:val="24"/>
          <w:szCs w:val="24"/>
          <w:lang w:val="en-US"/>
        </w:rPr>
        <w:t xml:space="preserve">, Colombia. Int J Emerg Med [Internet]. International Journal of Emergency Medicine; 2015;8(1):30. Available from: </w:t>
      </w:r>
      <w:hyperlink r:id="rId22" w:history="1">
        <w:r>
          <w:rPr>
            <w:rStyle w:val="Hyperlink1"/>
            <w:rFonts w:ascii="Arial" w:hAnsi="Arial"/>
            <w:sz w:val="24"/>
            <w:szCs w:val="24"/>
          </w:rPr>
          <w:t>http://www.intjem.com/content/8/1/30</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lastRenderedPageBreak/>
        <w:t xml:space="preserve">38. </w:t>
      </w:r>
      <w:r>
        <w:rPr>
          <w:rFonts w:ascii="Arial" w:hAnsi="Arial"/>
          <w:sz w:val="24"/>
          <w:szCs w:val="24"/>
          <w:lang w:val="de-DE"/>
        </w:rPr>
        <w:t>Arbelaez C, Pati</w:t>
      </w:r>
      <w:r>
        <w:rPr>
          <w:rFonts w:ascii="Arial" w:hAnsi="Arial"/>
          <w:sz w:val="24"/>
          <w:szCs w:val="24"/>
          <w:lang w:val="es-ES_tradnl"/>
        </w:rPr>
        <w:t>ñ</w:t>
      </w:r>
      <w:r>
        <w:rPr>
          <w:rFonts w:ascii="Arial" w:hAnsi="Arial"/>
          <w:sz w:val="24"/>
          <w:szCs w:val="24"/>
          <w:lang w:val="en-US"/>
        </w:rPr>
        <w:t>o A. State of emergency medicine in Colombia. Int J Emerg Med. 2015;4</w:t>
      </w:r>
      <w:r>
        <w:rPr>
          <w:rFonts w:ascii="Arial" w:hAnsi="Arial"/>
          <w:sz w:val="24"/>
          <w:szCs w:val="24"/>
        </w:rPr>
        <w:t xml:space="preserve">–9.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39. Latifi R, Gunn JKL, Stroster JA, Zaimi E, Olldashi F, Dogjani A, et al. The readiness of emergency and trauma care in low- and middle-income countries: a cross-sectional descriptive study of 42 public hospitals in Albania. Int J Emerg Med [Internet]. International Journal of Emergency Medicine; 2016;9(1):26. Available from: </w:t>
      </w:r>
      <w:hyperlink r:id="rId23" w:history="1">
        <w:r>
          <w:rPr>
            <w:rStyle w:val="Hyperlink1"/>
            <w:rFonts w:ascii="Arial" w:hAnsi="Arial"/>
            <w:sz w:val="24"/>
            <w:szCs w:val="24"/>
            <w:lang w:val="en-US"/>
          </w:rPr>
          <w:t>http://link.springer.com/article/10.1186/s12245-016-0124-5</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40. Wen LS, Anderson PD, Stagelund S, Sullivan AF, Camargo C a. National survey of emergency departments in Denmark. Eur J Emerg Med [Internet]. 2013;20(3):205</w:t>
      </w:r>
      <w:r>
        <w:rPr>
          <w:rFonts w:ascii="Arial" w:hAnsi="Arial"/>
          <w:sz w:val="24"/>
          <w:szCs w:val="24"/>
        </w:rPr>
        <w:t>–</w:t>
      </w:r>
      <w:r>
        <w:rPr>
          <w:rFonts w:ascii="Arial" w:hAnsi="Arial"/>
          <w:sz w:val="24"/>
          <w:szCs w:val="24"/>
          <w:lang w:val="en-US"/>
        </w:rPr>
        <w:t xml:space="preserve">9. Available from: </w:t>
      </w:r>
      <w:hyperlink r:id="rId24" w:history="1">
        <w:r>
          <w:rPr>
            <w:rStyle w:val="Hyperlink1"/>
            <w:rFonts w:ascii="Arial" w:hAnsi="Arial"/>
            <w:sz w:val="24"/>
            <w:szCs w:val="24"/>
            <w:lang w:val="en-US"/>
          </w:rPr>
          <w:t>http://www.ncbi.nlm.nih.gov/pubmed/22668810</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41.  Bey TA, Hahn SA, Moecke H. The current state of hospital-based emergency medicine in Germany. Int J Emerg Med. 2008;273</w:t>
      </w:r>
      <w:r>
        <w:rPr>
          <w:rFonts w:ascii="Arial" w:hAnsi="Arial"/>
          <w:sz w:val="24"/>
          <w:szCs w:val="24"/>
        </w:rPr>
        <w:t xml:space="preserve">–7.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42. Sanchez B, Hirzel AH, Bingisser R, Ciurea A, Exadaktylos A, Lehmann B, et al. State of Emergency Medicine in Switzerland: a national profile of emergency departments in 2006. Int J Emerg Med [Internet]. 2013;6(1):23. Available from: </w:t>
      </w:r>
      <w:hyperlink r:id="rId25" w:history="1">
        <w:r>
          <w:rPr>
            <w:rStyle w:val="Hyperlink1"/>
            <w:rFonts w:ascii="Arial" w:hAnsi="Arial"/>
            <w:sz w:val="24"/>
            <w:szCs w:val="24"/>
            <w:lang w:val="en-US"/>
          </w:rPr>
          <w:t>http://www.pubmedcentral.nih.gov/articlerender.fcgi?artid=3727950&amp;tool=pmcentrez&amp;rendertype=abstract</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43. Jaklic B, Wen LS, Sullivan AF, Camargo C a. A Profile of Emergency Departments in Slovenia. ISRN Emerg Med [Internet]. 2012;2012:1</w:t>
      </w:r>
      <w:r>
        <w:rPr>
          <w:rFonts w:ascii="Arial" w:hAnsi="Arial"/>
          <w:sz w:val="24"/>
          <w:szCs w:val="24"/>
        </w:rPr>
        <w:t>–</w:t>
      </w:r>
      <w:r>
        <w:rPr>
          <w:rFonts w:ascii="Arial" w:hAnsi="Arial"/>
          <w:sz w:val="24"/>
          <w:szCs w:val="24"/>
          <w:lang w:val="en-US"/>
        </w:rPr>
        <w:t xml:space="preserve">6. Available from: </w:t>
      </w:r>
      <w:hyperlink r:id="rId26" w:history="1">
        <w:r>
          <w:rPr>
            <w:rStyle w:val="Hyperlink1"/>
            <w:rFonts w:ascii="Arial" w:hAnsi="Arial"/>
            <w:sz w:val="24"/>
            <w:szCs w:val="24"/>
            <w:lang w:val="en-US"/>
          </w:rPr>
          <w:t>http://www.hindawi.com/isrn/em/2012/461274/</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44. </w:t>
      </w:r>
      <w:r>
        <w:rPr>
          <w:rFonts w:ascii="Arial" w:hAnsi="Arial"/>
          <w:sz w:val="24"/>
          <w:szCs w:val="24"/>
        </w:rPr>
        <w:t>Osei-</w:t>
      </w:r>
      <w:r>
        <w:rPr>
          <w:rFonts w:ascii="Arial" w:hAnsi="Arial"/>
          <w:sz w:val="24"/>
          <w:szCs w:val="24"/>
          <w:lang w:val="en-US"/>
        </w:rPr>
        <w:t>Ampofo M, Oduro G, Oteng R, Zakariah A, Jacquet G, Donkor P. The evolution and current state of emergency care in Ghana. African J Emerg Med [Internet]. African Federation for Emergency Medicine; 2013;3(2):52</w:t>
      </w:r>
      <w:r>
        <w:rPr>
          <w:rFonts w:ascii="Arial" w:hAnsi="Arial"/>
          <w:sz w:val="24"/>
          <w:szCs w:val="24"/>
        </w:rPr>
        <w:t>–</w:t>
      </w:r>
      <w:r>
        <w:rPr>
          <w:rFonts w:ascii="Arial" w:hAnsi="Arial"/>
          <w:sz w:val="24"/>
          <w:szCs w:val="24"/>
          <w:lang w:val="en-US"/>
        </w:rPr>
        <w:t xml:space="preserve">8. Available from: </w:t>
      </w:r>
      <w:hyperlink r:id="rId27" w:history="1">
        <w:r>
          <w:rPr>
            <w:rStyle w:val="Hyperlink1"/>
            <w:rFonts w:ascii="Arial" w:hAnsi="Arial"/>
            <w:sz w:val="24"/>
            <w:szCs w:val="24"/>
            <w:lang w:val="de-DE"/>
          </w:rPr>
          <w:t>http://dx.doi.org/10.1016/j.afjem.2012.11.006</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45. Choo S, Perry H, Hesse AAJ, Abantanga F, Sory E, Osen H, et al. Assessment of capacity for surgery, obstetrics and anaesthesia in 17 Ghanaian hospitals using a WHO assessment tool. Trop Med Int Heal. 2010;15(9):1109</w:t>
      </w:r>
      <w:r>
        <w:rPr>
          <w:rFonts w:ascii="Arial" w:hAnsi="Arial"/>
          <w:sz w:val="24"/>
          <w:szCs w:val="24"/>
        </w:rPr>
        <w:t xml:space="preserve">–15.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46. </w:t>
      </w:r>
      <w:r>
        <w:rPr>
          <w:rFonts w:ascii="Arial" w:hAnsi="Arial"/>
          <w:sz w:val="24"/>
          <w:szCs w:val="24"/>
        </w:rPr>
        <w:t>Mir</w:t>
      </w:r>
      <w:r>
        <w:rPr>
          <w:rFonts w:ascii="Arial" w:hAnsi="Arial"/>
          <w:sz w:val="24"/>
          <w:szCs w:val="24"/>
          <w:lang w:val="es-ES_tradnl"/>
        </w:rPr>
        <w:t>ó Ò</w:t>
      </w:r>
      <w:r>
        <w:rPr>
          <w:rFonts w:ascii="Arial" w:hAnsi="Arial"/>
          <w:sz w:val="24"/>
          <w:szCs w:val="24"/>
          <w:lang w:val="en-US"/>
        </w:rPr>
        <w:t>. State of emergency medicine in Spain. Int J Emerg Med [Internet]. 2010;3(4):219</w:t>
      </w:r>
      <w:r>
        <w:rPr>
          <w:rFonts w:ascii="Arial" w:hAnsi="Arial"/>
          <w:sz w:val="24"/>
          <w:szCs w:val="24"/>
        </w:rPr>
        <w:t>–</w:t>
      </w:r>
      <w:r>
        <w:rPr>
          <w:rFonts w:ascii="Arial" w:hAnsi="Arial"/>
          <w:sz w:val="24"/>
          <w:szCs w:val="24"/>
          <w:lang w:val="en-US"/>
        </w:rPr>
        <w:t>26. Available from: acute; case-study</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47. Gaakeer MI, Brand CL Van Den, Bracey A, Lieshout JM Van, Patka P. Emergency medicine training in the Netherlands, essential changes needed. 2013;3</w:t>
      </w:r>
      <w:r>
        <w:rPr>
          <w:rFonts w:ascii="Arial" w:hAnsi="Arial"/>
          <w:sz w:val="24"/>
          <w:szCs w:val="24"/>
        </w:rPr>
        <w:t xml:space="preserve">–7.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48. Partridge R, Abbo M, Virk A. Emergency medicine in Dubai, UAE. Int J Emerg Med. 2009;2(3):135</w:t>
      </w:r>
      <w:r>
        <w:rPr>
          <w:rFonts w:ascii="Arial" w:hAnsi="Arial"/>
          <w:sz w:val="24"/>
          <w:szCs w:val="24"/>
        </w:rPr>
        <w:t xml:space="preserve">–9.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49. Lee SMD. Disaster Management and Emergency Medicine in Malaysia. West J Emerg Med [Internet]. 2011;12(1):0</w:t>
      </w:r>
      <w:r>
        <w:rPr>
          <w:rFonts w:ascii="Arial" w:hAnsi="Arial"/>
          <w:sz w:val="24"/>
          <w:szCs w:val="24"/>
        </w:rPr>
        <w:t>–</w:t>
      </w:r>
      <w:r>
        <w:rPr>
          <w:rFonts w:ascii="Arial" w:hAnsi="Arial"/>
          <w:sz w:val="24"/>
          <w:szCs w:val="24"/>
          <w:lang w:val="en-US"/>
        </w:rPr>
        <w:t xml:space="preserve">2. Available from: </w:t>
      </w:r>
      <w:hyperlink r:id="rId28" w:history="1">
        <w:r>
          <w:rPr>
            <w:rStyle w:val="Hyperlink0"/>
            <w:rFonts w:ascii="Arial" w:hAnsi="Arial"/>
            <w:sz w:val="24"/>
            <w:szCs w:val="24"/>
            <w:lang w:val="en-US"/>
          </w:rPr>
          <w:t>http://www.escholarship.org/uc/item/9gv4h27b</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50. Wachira B, Martin IBK. The state of emergency care in the Republic of Kenya. African J Emerg Med [Internet]. African Federation for Emergency Medicine; 2011;1(4):160</w:t>
      </w:r>
      <w:r>
        <w:rPr>
          <w:rFonts w:ascii="Arial" w:hAnsi="Arial"/>
          <w:sz w:val="24"/>
          <w:szCs w:val="24"/>
        </w:rPr>
        <w:t>–</w:t>
      </w:r>
      <w:r>
        <w:rPr>
          <w:rFonts w:ascii="Arial" w:hAnsi="Arial"/>
          <w:sz w:val="24"/>
          <w:szCs w:val="24"/>
          <w:lang w:val="en-US"/>
        </w:rPr>
        <w:t xml:space="preserve">5. Available from: </w:t>
      </w:r>
      <w:hyperlink r:id="rId29" w:history="1">
        <w:r>
          <w:rPr>
            <w:rStyle w:val="Hyperlink1"/>
            <w:rFonts w:ascii="Arial" w:hAnsi="Arial"/>
            <w:sz w:val="24"/>
            <w:szCs w:val="24"/>
            <w:lang w:val="de-DE"/>
          </w:rPr>
          <w:t>http://dx.doi.org/10.1016/j.afjem.2011.10.008</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lastRenderedPageBreak/>
        <w:t>51. Henry JA, Frenkel E, Borgstein E, Mkandawire N, Goddia C. Surgical and anaesthetic capacity of hospitals in Malawi: Key insights. Health Policy Plan. 2015;30(8):985</w:t>
      </w:r>
      <w:r>
        <w:rPr>
          <w:rFonts w:ascii="Arial" w:hAnsi="Arial"/>
          <w:sz w:val="24"/>
          <w:szCs w:val="24"/>
        </w:rPr>
        <w:t xml:space="preserve">–94.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52. Iddriss A, Shivute N, Bickler S, Cole-Ceesay R, Jargo B, Abdullah F, et al. Emergency, anaesthetic and essential surgical capacity in the Gambia. Bull World Health Organ [Internet]. 2011;89(8):565</w:t>
      </w:r>
      <w:r>
        <w:rPr>
          <w:rFonts w:ascii="Arial" w:hAnsi="Arial"/>
          <w:sz w:val="24"/>
          <w:szCs w:val="24"/>
        </w:rPr>
        <w:t>–</w:t>
      </w:r>
      <w:r>
        <w:rPr>
          <w:rFonts w:ascii="Arial" w:hAnsi="Arial"/>
          <w:sz w:val="24"/>
          <w:szCs w:val="24"/>
          <w:lang w:val="en-US"/>
        </w:rPr>
        <w:t xml:space="preserve">72. Available from: </w:t>
      </w:r>
      <w:hyperlink r:id="rId30" w:history="1">
        <w:r>
          <w:rPr>
            <w:rStyle w:val="Hyperlink1"/>
            <w:rFonts w:ascii="Arial" w:hAnsi="Arial"/>
            <w:sz w:val="24"/>
            <w:szCs w:val="24"/>
            <w:lang w:val="en-US"/>
          </w:rPr>
          <w:t>http://www.who.int/entity/bulletin/volumes/89/8/11-086892.pdf</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53. Petroze RT, Nzayisenga A, Rusanganwa V, Ntakiyiruta G, Calland JF. Comprehensive national analysis of emergency and essential surgical capacity in Rwanda. Br J Surg. 2012;99(3):436</w:t>
      </w:r>
      <w:r>
        <w:rPr>
          <w:rFonts w:ascii="Arial" w:hAnsi="Arial"/>
          <w:sz w:val="24"/>
          <w:szCs w:val="24"/>
        </w:rPr>
        <w:t xml:space="preserve">–43.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54. Reynard K, Brown R. A clinical analysis of the emergency medicine workforce crisis. Br J Hosp Med [Internet]. 2014;75(11):612</w:t>
      </w:r>
      <w:r>
        <w:rPr>
          <w:rFonts w:ascii="Arial" w:hAnsi="Arial"/>
          <w:sz w:val="24"/>
          <w:szCs w:val="24"/>
        </w:rPr>
        <w:t>–</w:t>
      </w:r>
      <w:r>
        <w:rPr>
          <w:rFonts w:ascii="Arial" w:hAnsi="Arial"/>
          <w:sz w:val="24"/>
          <w:szCs w:val="24"/>
          <w:lang w:val="en-US"/>
        </w:rPr>
        <w:t xml:space="preserve">6. Available from: </w:t>
      </w:r>
      <w:hyperlink r:id="rId31" w:history="1">
        <w:r>
          <w:rPr>
            <w:rStyle w:val="Hyperlink1"/>
            <w:rFonts w:ascii="Arial" w:hAnsi="Arial"/>
            <w:sz w:val="24"/>
            <w:szCs w:val="24"/>
            <w:lang w:val="en-US"/>
          </w:rPr>
          <w:t>http://www.magonlinelibrary.com/doi/abs/10.12968/hmed.2014.75.11.612</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55. </w:t>
      </w:r>
      <w:r>
        <w:rPr>
          <w:rFonts w:ascii="Arial" w:hAnsi="Arial"/>
          <w:sz w:val="24"/>
          <w:szCs w:val="24"/>
        </w:rPr>
        <w:t>Dü</w:t>
      </w:r>
      <w:r>
        <w:rPr>
          <w:rFonts w:ascii="Arial" w:hAnsi="Arial"/>
          <w:sz w:val="24"/>
          <w:szCs w:val="24"/>
          <w:lang w:val="nl-NL"/>
        </w:rPr>
        <w:t>nser MW, Bataar O, Tsenddorj G, Lundeg G, Jochberger S, Jakob S. Intensive care medicine in Mongolia</w:t>
      </w:r>
      <w:r>
        <w:rPr>
          <w:rFonts w:ascii="Arial" w:hAnsi="Arial"/>
          <w:sz w:val="24"/>
          <w:szCs w:val="24"/>
        </w:rPr>
        <w:t>’</w:t>
      </w:r>
      <w:r>
        <w:rPr>
          <w:rFonts w:ascii="Arial" w:hAnsi="Arial"/>
          <w:sz w:val="24"/>
          <w:szCs w:val="24"/>
          <w:lang w:val="en-US"/>
        </w:rPr>
        <w:t xml:space="preserve">s 3 largest cities: Outlining the needs. J Crit Care [Internet]. Elsevier Inc.; 2009;24(3):469.e1-469.e6. Available from: </w:t>
      </w:r>
      <w:hyperlink r:id="rId32" w:history="1">
        <w:r>
          <w:rPr>
            <w:rStyle w:val="Hyperlink1"/>
            <w:rFonts w:ascii="Arial" w:hAnsi="Arial"/>
            <w:sz w:val="24"/>
            <w:szCs w:val="24"/>
            <w:lang w:val="en-US"/>
          </w:rPr>
          <w:t>http://dx.doi.org/10.1016/j.jcrc.2008.06.014</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56. </w:t>
      </w:r>
      <w:r>
        <w:rPr>
          <w:rFonts w:ascii="Arial" w:hAnsi="Arial"/>
          <w:sz w:val="24"/>
          <w:szCs w:val="24"/>
        </w:rPr>
        <w:t>Dü</w:t>
      </w:r>
      <w:r>
        <w:rPr>
          <w:rFonts w:ascii="Arial" w:hAnsi="Arial"/>
          <w:sz w:val="24"/>
          <w:szCs w:val="24"/>
          <w:lang w:val="en-US"/>
        </w:rPr>
        <w:t xml:space="preserve">nser MW, Baelani I, Ganbold L. A review and analysis of intensive care medicine in the least developed countries*. Crit Care Med. 2014;(April).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57. Wen LS, Venkataraman A, Sullivan AF, Camargo CA. National inventory of emergency departments in Singapore. Int J Emerg Med [Internet]. 2012;5(1):38. Available from: </w:t>
      </w:r>
      <w:hyperlink r:id="rId33" w:history="1">
        <w:r>
          <w:rPr>
            <w:rStyle w:val="Hyperlink1"/>
            <w:rFonts w:ascii="Arial" w:hAnsi="Arial"/>
            <w:sz w:val="24"/>
            <w:szCs w:val="24"/>
            <w:lang w:val="en-US"/>
          </w:rPr>
          <w:t>http://www.pubmedcentral.nih.gov/articlerender.fcgi?artid=3518169&amp;tool=pmcentrez&amp;rendertype=abstract</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58. Loveday J, Sachdev SP, Cherian MN, Katayama F, Akhtaruzzaman AKM, Thomas J, et al. Survey of Emergency and Essential Surgical, Obstetric and Anaesthetic Services Available in Bangladeshi Government Health Facilities. World J Surg [Internet]. Springer International Publishing; 2017;41(7):1743</w:t>
      </w:r>
      <w:r>
        <w:rPr>
          <w:rFonts w:ascii="Arial" w:hAnsi="Arial"/>
          <w:sz w:val="24"/>
          <w:szCs w:val="24"/>
        </w:rPr>
        <w:t>–</w:t>
      </w:r>
      <w:r>
        <w:rPr>
          <w:rFonts w:ascii="Arial" w:hAnsi="Arial"/>
          <w:sz w:val="24"/>
          <w:szCs w:val="24"/>
          <w:lang w:val="en-US"/>
        </w:rPr>
        <w:t xml:space="preserve">51. Available from: </w:t>
      </w:r>
      <w:hyperlink r:id="rId34" w:history="1">
        <w:r>
          <w:rPr>
            <w:rStyle w:val="Hyperlink1"/>
            <w:rFonts w:ascii="Arial" w:hAnsi="Arial"/>
            <w:sz w:val="24"/>
            <w:szCs w:val="24"/>
          </w:rPr>
          <w:t>http://link.springer.com/10.1007/s00268-017-3918-6</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59. Kouo-Ngamby M, Dissak-Delon FN, Feldhaus I, Juillard C, Stevens KA, Ekeke-Monono M. A cross-sectional survey of emergency and essential surgical care capacity among hospitals with high trauma burden in a Central African country. BMC Health Serv Res [Internet]. BMC Health Services Research; 2015;15(1):478. Available from: </w:t>
      </w:r>
      <w:hyperlink r:id="rId35" w:history="1">
        <w:r>
          <w:rPr>
            <w:rStyle w:val="Hyperlink1"/>
            <w:rFonts w:ascii="Arial" w:hAnsi="Arial"/>
            <w:sz w:val="24"/>
            <w:szCs w:val="24"/>
            <w:lang w:val="en-US"/>
          </w:rPr>
          <w:t>http://bmchealthservres.biomedcentral.com/articles/10.1186/s12913-015-1147-y</w:t>
        </w:r>
      </w:hyperlink>
    </w:p>
    <w:p w:rsidR="00CF084F" w:rsidRDefault="00CF084F">
      <w:pPr>
        <w:pStyle w:val="Body"/>
        <w:jc w:val="both"/>
        <w:rPr>
          <w:rFonts w:ascii="Arial" w:eastAsia="Arial" w:hAnsi="Arial" w:cs="Arial"/>
          <w:i/>
          <w:iCs/>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60. </w:t>
      </w:r>
      <w:r>
        <w:rPr>
          <w:rFonts w:ascii="Arial" w:hAnsi="Arial"/>
          <w:sz w:val="24"/>
          <w:szCs w:val="24"/>
        </w:rPr>
        <w:t>Solis C, Le</w:t>
      </w:r>
      <w:r>
        <w:rPr>
          <w:rFonts w:ascii="Arial" w:hAnsi="Arial"/>
          <w:sz w:val="24"/>
          <w:szCs w:val="24"/>
          <w:lang w:val="es-ES_tradnl"/>
        </w:rPr>
        <w:t>ó</w:t>
      </w:r>
      <w:r>
        <w:rPr>
          <w:rFonts w:ascii="Arial" w:hAnsi="Arial"/>
          <w:sz w:val="24"/>
          <w:szCs w:val="24"/>
          <w:lang w:val="en-US"/>
        </w:rPr>
        <w:t>n P, Sanchez N, Burdic M, Johnson L, Warren H, et al. Nicaraguan surgical and anesthesia infrastructure: Survey of ministry of health hospitals. World J Surg. 2013;37(9):2109</w:t>
      </w:r>
      <w:r>
        <w:rPr>
          <w:rFonts w:ascii="Arial" w:hAnsi="Arial"/>
          <w:sz w:val="24"/>
          <w:szCs w:val="24"/>
        </w:rPr>
        <w:t xml:space="preserve">–21.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61. Hoyler M, Finlayson SRG, McClain CD, Meara JG, Hagander L. Shortage of doctors, shortage of data: A review of the global surgery, obstetrics, and anesthesia workforce literature. World J Surg. 2014;38(2):269</w:t>
      </w:r>
      <w:r>
        <w:rPr>
          <w:rFonts w:ascii="Arial" w:hAnsi="Arial"/>
          <w:sz w:val="24"/>
          <w:szCs w:val="24"/>
        </w:rPr>
        <w:t xml:space="preserve">–80.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62. De Wulf A, Aluisio AR, Muhlfelder D, Bloem C. Emergency Care Capabilities in North East Haiti: A Cross-sectional Observational Study. Prehosp Disaster Med [Internet]. 2015;30(6):553</w:t>
      </w:r>
      <w:r>
        <w:rPr>
          <w:rFonts w:ascii="Arial" w:hAnsi="Arial"/>
          <w:sz w:val="24"/>
          <w:szCs w:val="24"/>
        </w:rPr>
        <w:t>–</w:t>
      </w:r>
      <w:r>
        <w:rPr>
          <w:rFonts w:ascii="Arial" w:hAnsi="Arial"/>
          <w:sz w:val="24"/>
          <w:szCs w:val="24"/>
          <w:lang w:val="en-US"/>
        </w:rPr>
        <w:t xml:space="preserve">9. Available from: </w:t>
      </w:r>
      <w:hyperlink r:id="rId36" w:history="1">
        <w:r>
          <w:rPr>
            <w:rStyle w:val="Hyperlink1"/>
            <w:rFonts w:ascii="Arial" w:hAnsi="Arial"/>
            <w:sz w:val="24"/>
            <w:szCs w:val="24"/>
            <w:lang w:val="en-US"/>
          </w:rPr>
          <w:t>http://www.journals.cambridge.org/abstract_S1049023X15005221</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63. Tripathi S, Kaur H, Kashyap R, Dong Y, Gajic O, Murthy S. A survey on the resources and practices in pediatric critical care of resource-rich and resource-limited countries. J Intensive Care [Internet]. Journal of Intensive Care; 2015;3(1):40. Available from: </w:t>
      </w:r>
      <w:hyperlink r:id="rId37" w:history="1">
        <w:r>
          <w:rPr>
            <w:rStyle w:val="Hyperlink1"/>
            <w:rFonts w:ascii="Arial" w:hAnsi="Arial"/>
            <w:sz w:val="24"/>
            <w:szCs w:val="24"/>
            <w:lang w:val="en-US"/>
          </w:rPr>
          <w:t>http://www.jintensivecare.com/content/3/1/40</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64. Lin JY, Ahmed S, Brander C. Breadth of Emergency Medical Training in Pakistan. Prehosp Disaster Med [Internet]. 2013;28(2):179</w:t>
      </w:r>
      <w:r>
        <w:rPr>
          <w:rFonts w:ascii="Arial" w:hAnsi="Arial"/>
          <w:sz w:val="24"/>
          <w:szCs w:val="24"/>
        </w:rPr>
        <w:t>–</w:t>
      </w:r>
      <w:r>
        <w:rPr>
          <w:rFonts w:ascii="Arial" w:hAnsi="Arial"/>
          <w:sz w:val="24"/>
          <w:szCs w:val="24"/>
          <w:lang w:val="en-US"/>
        </w:rPr>
        <w:t>83. Available from: http://www.journals.cambridge.org/abstract_S1049023X12001859</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sidRPr="001E44FB">
        <w:rPr>
          <w:rFonts w:ascii="Arial" w:hAnsi="Arial"/>
          <w:sz w:val="24"/>
          <w:szCs w:val="24"/>
          <w:lang w:val="fr-FR"/>
        </w:rPr>
        <w:t xml:space="preserve">65. Martin J, Tau G, Cherian MN, Vergel de Dios J, Mills D, Fitzpatrick J, et al. </w:t>
      </w:r>
      <w:r>
        <w:rPr>
          <w:rFonts w:ascii="Arial" w:hAnsi="Arial"/>
          <w:sz w:val="24"/>
          <w:szCs w:val="24"/>
          <w:lang w:val="en-US"/>
        </w:rPr>
        <w:t xml:space="preserve">Survey of the capacity for essential surgery and anaesthesia services in Papua New Guinea. BMJ Open [Internet]. 2015;5(12):e009841. Available from: </w:t>
      </w:r>
      <w:hyperlink r:id="rId38" w:history="1">
        <w:r>
          <w:rPr>
            <w:rStyle w:val="Hyperlink1"/>
            <w:rFonts w:ascii="Arial" w:hAnsi="Arial"/>
            <w:sz w:val="24"/>
            <w:szCs w:val="24"/>
          </w:rPr>
          <w:t>http://bmjopen.bmj.com/lookup/doi/10.1136/bmjopen-2015-009841</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66. Anthony DR. Promoting emergency medical care systems in the developing world: Weighing the costs. Glob Public Health [Internet]. 2011;6(8):906</w:t>
      </w:r>
      <w:r>
        <w:rPr>
          <w:rFonts w:ascii="Arial" w:hAnsi="Arial"/>
          <w:sz w:val="24"/>
          <w:szCs w:val="24"/>
        </w:rPr>
        <w:t>–</w:t>
      </w:r>
      <w:r>
        <w:rPr>
          <w:rFonts w:ascii="Arial" w:hAnsi="Arial"/>
          <w:sz w:val="24"/>
          <w:szCs w:val="24"/>
          <w:lang w:val="en-US"/>
        </w:rPr>
        <w:t xml:space="preserve">13. Available from: </w:t>
      </w:r>
      <w:hyperlink r:id="rId39" w:history="1">
        <w:r>
          <w:rPr>
            <w:rStyle w:val="Hyperlink1"/>
            <w:rFonts w:ascii="Arial" w:hAnsi="Arial"/>
            <w:sz w:val="24"/>
            <w:szCs w:val="24"/>
            <w:lang w:val="en-US"/>
          </w:rPr>
          <w:t>http://www.tandfonline.com/doi/abs/10.1080/17441692.2010.535008</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67. Rodigin A. An update on emergency care and emergency medicine in Russia. Int J Emerg Med [Internet]. International Journal of Emergency Medicine; 2015;8(1):42. Available from: </w:t>
      </w:r>
      <w:hyperlink r:id="rId40" w:history="1">
        <w:r>
          <w:rPr>
            <w:rStyle w:val="Hyperlink1"/>
            <w:rFonts w:ascii="Arial" w:hAnsi="Arial"/>
            <w:sz w:val="24"/>
            <w:szCs w:val="24"/>
          </w:rPr>
          <w:t>http://www.intjem.com/content/8/1/42</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68. Savitsky E, Rehnborg GB, Ibarra K. Emergency Medical Services Development in the Seychelles Islands. Am J Emerg Med. 2000;18(3):332</w:t>
      </w:r>
      <w:r>
        <w:rPr>
          <w:rFonts w:ascii="Arial" w:hAnsi="Arial"/>
          <w:sz w:val="24"/>
          <w:szCs w:val="24"/>
        </w:rPr>
        <w:t xml:space="preserve">–5.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69. Rhodes A, Ferdinande P, Flaatten H, Guidet B, Metnitz PG, Moreno RP. The variability of critical care bed numbers in Europe. Intensive Care Med. 2012;38(10):1647</w:t>
      </w:r>
      <w:r>
        <w:rPr>
          <w:rFonts w:ascii="Arial" w:hAnsi="Arial"/>
          <w:sz w:val="24"/>
          <w:szCs w:val="24"/>
        </w:rPr>
        <w:t xml:space="preserve">–53.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70. Harrison JP, Ferguson ED. The crisis in United States hospital emergency services. Int J Health Care Qual Assur [Internet]. 2011;24(6):471</w:t>
      </w:r>
      <w:r>
        <w:rPr>
          <w:rFonts w:ascii="Arial" w:hAnsi="Arial"/>
          <w:sz w:val="24"/>
          <w:szCs w:val="24"/>
        </w:rPr>
        <w:t>–</w:t>
      </w:r>
      <w:r>
        <w:rPr>
          <w:rFonts w:ascii="Arial" w:hAnsi="Arial"/>
          <w:sz w:val="24"/>
          <w:szCs w:val="24"/>
          <w:lang w:val="en-US"/>
        </w:rPr>
        <w:t xml:space="preserve">83. Available from: </w:t>
      </w:r>
      <w:hyperlink r:id="rId41" w:history="1">
        <w:r>
          <w:rPr>
            <w:rStyle w:val="Hyperlink1"/>
            <w:rFonts w:ascii="Arial" w:hAnsi="Arial"/>
            <w:sz w:val="24"/>
            <w:szCs w:val="24"/>
            <w:lang w:val="en-US"/>
          </w:rPr>
          <w:t>http://www.emeraldinsight.com/doi/10.1108/09526861111150725</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71. Arnold JL. International emergency medicine and the recent development of emergency medicine worldwide. Ann Emerg Med. 1999;33(1):97</w:t>
      </w:r>
      <w:r>
        <w:rPr>
          <w:rFonts w:ascii="Arial" w:hAnsi="Arial"/>
          <w:sz w:val="24"/>
          <w:szCs w:val="24"/>
        </w:rPr>
        <w:t xml:space="preserve">–103.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72. Obermeyer Z, Abujaber S, Makar M, Stoll S, Kayden SR, Wallis A. Emergency care in 59 low- and middle-income countries : a systematic review. 2015;(October 2014):577</w:t>
      </w:r>
      <w:r>
        <w:rPr>
          <w:rFonts w:ascii="Arial" w:hAnsi="Arial"/>
          <w:sz w:val="24"/>
          <w:szCs w:val="24"/>
        </w:rPr>
        <w:t xml:space="preserve">–86.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73. Castillo-Laborde C. Human resources for health and burden of disease: an econometric approach. Hum Resour Heal [Electronic Resour [Internet]. 2011;9:4. Available from: http://ovidsp.ovid.com/ovidweb.cgi?T=JS&amp;CSC=Y&amp;NEWS=N&amp;PAGE=fulltext&amp;D=prem&amp;AN=21269453 </w:t>
      </w:r>
      <w:hyperlink r:id="rId42" w:history="1">
        <w:r>
          <w:rPr>
            <w:rStyle w:val="Hyperlink1"/>
            <w:rFonts w:ascii="Arial" w:hAnsi="Arial"/>
            <w:sz w:val="24"/>
            <w:szCs w:val="24"/>
            <w:lang w:val="en-US"/>
          </w:rPr>
          <w:t>http://oxfordsfx.hosted.exlibrisgroup.com/oxford?sid=OVID:medline&amp;id=pmid:21269453&amp;id=doi:10.1186%2F1478-4491-9-4&amp;issn=1478-4491&amp;isbn=&amp;volume=9&amp;issue=&amp;spage=4&amp;pages=4&amp;da</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74. Aragon Penoyer D. Nurse staffing and patient outcomes in critical care: A concise review. Crit Care Med [Internet]. 2010;38(7):1521</w:t>
      </w:r>
      <w:r>
        <w:rPr>
          <w:rFonts w:ascii="Arial" w:hAnsi="Arial"/>
          <w:sz w:val="24"/>
          <w:szCs w:val="24"/>
        </w:rPr>
        <w:t>–</w:t>
      </w:r>
      <w:r>
        <w:rPr>
          <w:rFonts w:ascii="Arial" w:hAnsi="Arial"/>
          <w:sz w:val="24"/>
          <w:szCs w:val="24"/>
          <w:lang w:val="en-US"/>
        </w:rPr>
        <w:t xml:space="preserve">8. Available from: </w:t>
      </w:r>
      <w:hyperlink r:id="rId43" w:history="1">
        <w:r>
          <w:rPr>
            <w:rStyle w:val="Hyperlink1"/>
            <w:rFonts w:ascii="Arial" w:hAnsi="Arial"/>
            <w:sz w:val="24"/>
            <w:szCs w:val="24"/>
            <w:lang w:val="en-US"/>
          </w:rPr>
          <w:t>http://content.wkhealth.com/linkback/openurl?sid=WKPTLP:landingpage&amp;an=00003246-201007000-00002</w:t>
        </w:r>
      </w:hyperlink>
      <w:r>
        <w:rPr>
          <w:rFonts w:ascii="Arial Unicode MS" w:hAnsi="Arial Unicode MS"/>
          <w:sz w:val="24"/>
          <w:szCs w:val="24"/>
        </w:rPr>
        <w:br/>
      </w:r>
    </w:p>
    <w:p w:rsidR="00CF084F" w:rsidRDefault="00346DCB">
      <w:pPr>
        <w:pStyle w:val="Body"/>
        <w:jc w:val="both"/>
        <w:rPr>
          <w:rFonts w:ascii="Arial" w:eastAsia="Arial" w:hAnsi="Arial" w:cs="Arial"/>
          <w:sz w:val="24"/>
          <w:szCs w:val="24"/>
        </w:rPr>
      </w:pPr>
      <w:r>
        <w:rPr>
          <w:rFonts w:ascii="Arial" w:hAnsi="Arial"/>
          <w:sz w:val="24"/>
          <w:szCs w:val="24"/>
          <w:lang w:val="en-US"/>
        </w:rPr>
        <w:lastRenderedPageBreak/>
        <w:t>75. Numata Y, Schulzer M, Van Der Wal R, Globerman J, Semeniuk P, Balka E, et al. Nurse staffing levels and hospital mortality in critical care settings: Literature review and meta-analysis. J Adv Nurs. 2006;55(4):435</w:t>
      </w:r>
      <w:r>
        <w:rPr>
          <w:rFonts w:ascii="Arial" w:hAnsi="Arial"/>
          <w:sz w:val="24"/>
          <w:szCs w:val="24"/>
        </w:rPr>
        <w:t xml:space="preserve">–48. </w:t>
      </w:r>
      <w:r>
        <w:rPr>
          <w:rFonts w:ascii="Arial Unicode MS" w:hAnsi="Arial Unicode MS"/>
          <w:sz w:val="24"/>
          <w:szCs w:val="24"/>
        </w:rPr>
        <w:br/>
      </w:r>
    </w:p>
    <w:p w:rsidR="00CF084F" w:rsidRDefault="00346DCB">
      <w:pPr>
        <w:pStyle w:val="Body"/>
        <w:jc w:val="both"/>
        <w:rPr>
          <w:rFonts w:ascii="Arial" w:eastAsia="Arial" w:hAnsi="Arial" w:cs="Arial"/>
          <w:sz w:val="24"/>
          <w:szCs w:val="24"/>
        </w:rPr>
      </w:pPr>
      <w:r>
        <w:rPr>
          <w:rFonts w:ascii="Arial" w:hAnsi="Arial"/>
          <w:sz w:val="24"/>
          <w:szCs w:val="24"/>
          <w:lang w:val="en-US"/>
        </w:rPr>
        <w:t>76. Provonost P, Angus DC, Dorman T, Bobinson K, Dremsizov T, Young T. Physician Staffing Patterns and Clinical Outcomes in Critically Ill Patients: A Systematic Review. JAMA. 2002;288(17):2151</w:t>
      </w:r>
      <w:r>
        <w:rPr>
          <w:rFonts w:ascii="Arial" w:hAnsi="Arial"/>
          <w:sz w:val="24"/>
          <w:szCs w:val="24"/>
        </w:rPr>
        <w:t xml:space="preserve">–62.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77. Arabi Y, Alshimemeri A, Taher S. Weekend and weeknight admissions have the same outcome of weekday admissions to an intensive care unit with onsite intensivist coverage. Crit Care Med. 2006;34(3):605</w:t>
      </w:r>
      <w:r>
        <w:rPr>
          <w:rFonts w:ascii="Arial" w:hAnsi="Arial"/>
          <w:sz w:val="24"/>
          <w:szCs w:val="24"/>
        </w:rPr>
        <w:t xml:space="preserve">–11.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78. Wise J. The weekend effect—how strong is the evidence?: BMJ [Internet]. 2016;2781(May):i2781. Available from: </w:t>
      </w:r>
      <w:hyperlink r:id="rId44" w:history="1">
        <w:r>
          <w:rPr>
            <w:rStyle w:val="Hyperlink0"/>
            <w:rFonts w:ascii="Arial" w:hAnsi="Arial"/>
            <w:sz w:val="24"/>
            <w:szCs w:val="24"/>
            <w:lang w:val="en-US"/>
          </w:rPr>
          <w:t>http://www.bmj.com/lookup/doi/10.1136/bmj.i2781</w:t>
        </w:r>
      </w:hyperlink>
    </w:p>
    <w:p w:rsidR="00CF084F" w:rsidRDefault="00CF084F">
      <w:pPr>
        <w:pStyle w:val="Body"/>
        <w:jc w:val="both"/>
        <w:rPr>
          <w:rFonts w:ascii="Arial" w:eastAsia="Arial" w:hAnsi="Arial" w:cs="Arial"/>
          <w:sz w:val="24"/>
          <w:szCs w:val="24"/>
        </w:rPr>
      </w:pP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sidRPr="001E44FB">
        <w:rPr>
          <w:rFonts w:ascii="Arial" w:hAnsi="Arial"/>
          <w:sz w:val="24"/>
          <w:szCs w:val="24"/>
          <w:lang w:val="fr-FR"/>
        </w:rPr>
        <w:t xml:space="preserve">79.  Becker TK, Hansoti B, Bartels S, Bisanzo M, Jacquet GA, Lunney K, et al. </w:t>
      </w:r>
      <w:r>
        <w:rPr>
          <w:rFonts w:ascii="Arial" w:hAnsi="Arial"/>
          <w:sz w:val="24"/>
          <w:szCs w:val="24"/>
          <w:lang w:val="en-US"/>
        </w:rPr>
        <w:t>Global Emergency Medicine: A Review of the Literature From 2015. Acad Emerg Med. 2016;23(10):1183</w:t>
      </w:r>
      <w:r>
        <w:rPr>
          <w:rFonts w:ascii="Arial" w:hAnsi="Arial"/>
          <w:sz w:val="24"/>
          <w:szCs w:val="24"/>
        </w:rPr>
        <w:t xml:space="preserve">–91.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80. </w:t>
      </w:r>
      <w:r>
        <w:rPr>
          <w:rFonts w:ascii="Arial" w:hAnsi="Arial"/>
          <w:sz w:val="24"/>
          <w:szCs w:val="24"/>
          <w:lang w:val="it-IT"/>
        </w:rPr>
        <w:t xml:space="preserve">Papali A, McCurdy MT, Calvello EJB. A </w:t>
      </w:r>
      <w:r>
        <w:rPr>
          <w:rFonts w:ascii="Arial" w:hAnsi="Arial"/>
          <w:sz w:val="24"/>
          <w:szCs w:val="24"/>
        </w:rPr>
        <w:t>“</w:t>
      </w:r>
      <w:r>
        <w:rPr>
          <w:rFonts w:ascii="Arial" w:hAnsi="Arial"/>
          <w:sz w:val="24"/>
          <w:szCs w:val="24"/>
          <w:lang w:val="en-US"/>
        </w:rPr>
        <w:t>three delays</w:t>
      </w:r>
      <w:r>
        <w:rPr>
          <w:rFonts w:ascii="Arial" w:hAnsi="Arial"/>
          <w:sz w:val="24"/>
          <w:szCs w:val="24"/>
        </w:rPr>
        <w:t xml:space="preserve">” </w:t>
      </w:r>
      <w:r>
        <w:rPr>
          <w:rFonts w:ascii="Arial" w:hAnsi="Arial"/>
          <w:sz w:val="24"/>
          <w:szCs w:val="24"/>
          <w:lang w:val="en-US"/>
        </w:rPr>
        <w:t xml:space="preserve">model for severe sepsis in resource-limited countries. J Crit Care [Internet]. Elsevier Inc.; 2015;30(4):861.e9-861.e14. Available from: </w:t>
      </w:r>
      <w:hyperlink r:id="rId45" w:history="1">
        <w:r>
          <w:rPr>
            <w:rStyle w:val="Hyperlink1"/>
            <w:rFonts w:ascii="Arial" w:hAnsi="Arial"/>
            <w:sz w:val="24"/>
            <w:szCs w:val="24"/>
            <w:lang w:val="en-US"/>
          </w:rPr>
          <w:t>http://dx.doi.org/10.1016/j.jcrc.2015.04.003</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81. Callese TE, Richards CT, Shaw P, Schuetz SJ, Paladino L, Issa N, et al. Trauma system development in low- and middle-income countries: A review. J Surg Res [Internet]. Elsevier Inc; 2015;193(1):300</w:t>
      </w:r>
      <w:r>
        <w:rPr>
          <w:rFonts w:ascii="Arial" w:hAnsi="Arial"/>
          <w:sz w:val="24"/>
          <w:szCs w:val="24"/>
        </w:rPr>
        <w:t>–</w:t>
      </w:r>
      <w:r>
        <w:rPr>
          <w:rFonts w:ascii="Arial" w:hAnsi="Arial"/>
          <w:sz w:val="24"/>
          <w:szCs w:val="24"/>
          <w:lang w:val="en-US"/>
        </w:rPr>
        <w:t xml:space="preserve">7. Available from: </w:t>
      </w:r>
      <w:hyperlink r:id="rId46" w:history="1">
        <w:r>
          <w:rPr>
            <w:rStyle w:val="Hyperlink1"/>
            <w:rFonts w:ascii="Arial" w:hAnsi="Arial"/>
            <w:sz w:val="24"/>
            <w:szCs w:val="24"/>
            <w:lang w:val="de-DE"/>
          </w:rPr>
          <w:t>http://dx.doi.org/10.1016/j.jss.2014.09.040</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82. Bangdiwala SI, Fonn S, Okoye O, Tollman S. Workforce Resources for Health. Public Health Rev. 2011;32(1):296</w:t>
      </w:r>
      <w:r>
        <w:rPr>
          <w:rFonts w:ascii="Arial" w:hAnsi="Arial"/>
          <w:sz w:val="24"/>
          <w:szCs w:val="24"/>
        </w:rPr>
        <w:t xml:space="preserve">–318.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83. </w:t>
      </w:r>
      <w:r>
        <w:rPr>
          <w:rFonts w:ascii="Arial" w:hAnsi="Arial"/>
          <w:sz w:val="24"/>
          <w:szCs w:val="24"/>
        </w:rPr>
        <w:t xml:space="preserve">WHO. Task Shifting. 2008.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84. Murthy S, Wunsch H. Clinical review: International comparisons in critical care - lessons learned. Crit Care [Internet]. 2012;16(2):218. Available from: </w:t>
      </w:r>
      <w:hyperlink r:id="rId47" w:history="1">
        <w:r>
          <w:rPr>
            <w:rStyle w:val="Hyperlink1"/>
            <w:rFonts w:ascii="Arial" w:hAnsi="Arial"/>
            <w:sz w:val="24"/>
            <w:szCs w:val="24"/>
            <w:lang w:val="en-US"/>
          </w:rPr>
          <w:t>http://ccforum.biomedcentral.com/articles/10.1186/cc11140</w:t>
        </w:r>
      </w:hyperlink>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85. Riviello ED, Letchford S, Achieng L, Newton MW. Critical care in resource-poor settings: lessons learned and future directions. Crit Care Med. 2011;39(4):860</w:t>
      </w:r>
      <w:r>
        <w:rPr>
          <w:rFonts w:ascii="Arial" w:hAnsi="Arial"/>
          <w:sz w:val="24"/>
          <w:szCs w:val="24"/>
        </w:rPr>
        <w:t xml:space="preserve">–7.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86. Adhikari NKJ, Fowler RA, Bhagwanjee S, Rubenfeld GD. Critical care and the global burden of critical illness in adults. Lancet. 2010;376(9749):1339</w:t>
      </w:r>
      <w:r>
        <w:rPr>
          <w:rFonts w:ascii="Arial" w:hAnsi="Arial"/>
          <w:sz w:val="24"/>
          <w:szCs w:val="24"/>
        </w:rPr>
        <w:t xml:space="preserve">–46. </w:t>
      </w:r>
    </w:p>
    <w:p w:rsidR="00CF084F" w:rsidRDefault="00CF084F">
      <w:pPr>
        <w:pStyle w:val="Body"/>
        <w:jc w:val="both"/>
        <w:rPr>
          <w:rFonts w:ascii="Arial" w:eastAsia="Arial" w:hAnsi="Arial" w:cs="Arial"/>
          <w:sz w:val="24"/>
          <w:szCs w:val="24"/>
        </w:rPr>
      </w:pPr>
    </w:p>
    <w:p w:rsidR="00CF084F" w:rsidRDefault="00346DCB">
      <w:pPr>
        <w:pStyle w:val="Body"/>
        <w:jc w:val="both"/>
        <w:rPr>
          <w:rFonts w:ascii="Arial" w:eastAsia="Arial" w:hAnsi="Arial" w:cs="Arial"/>
          <w:sz w:val="24"/>
          <w:szCs w:val="24"/>
        </w:rPr>
      </w:pPr>
      <w:r>
        <w:rPr>
          <w:rFonts w:ascii="Arial" w:hAnsi="Arial"/>
          <w:sz w:val="24"/>
          <w:szCs w:val="24"/>
          <w:lang w:val="en-US"/>
        </w:rPr>
        <w:t xml:space="preserve">87. Dickinson G, Arnold JL, Dickinson G, Tsai M, Han D. A survey of emergency medicine in 36 countries. Can J Emerg Med [Internet]. 2001;3(2). Available from: </w:t>
      </w:r>
      <w:hyperlink r:id="rId48" w:history="1">
        <w:r>
          <w:rPr>
            <w:rStyle w:val="Hyperlink1"/>
            <w:rFonts w:ascii="Arial" w:hAnsi="Arial"/>
            <w:sz w:val="24"/>
            <w:szCs w:val="24"/>
            <w:lang w:val="en-US"/>
          </w:rPr>
          <w:t>http://cjem-online.ca/v3/n2/p109/ii</w:t>
        </w:r>
      </w:hyperlink>
    </w:p>
    <w:p w:rsidR="00CF084F" w:rsidRDefault="00CF084F">
      <w:pPr>
        <w:pStyle w:val="Body"/>
        <w:jc w:val="both"/>
        <w:rPr>
          <w:rFonts w:ascii="Arial" w:eastAsia="Arial" w:hAnsi="Arial" w:cs="Arial"/>
          <w:i/>
          <w:iCs/>
          <w:sz w:val="24"/>
          <w:szCs w:val="24"/>
        </w:rPr>
      </w:pPr>
    </w:p>
    <w:p w:rsidR="00CF084F" w:rsidRDefault="00346DCB">
      <w:pPr>
        <w:pStyle w:val="Body"/>
        <w:jc w:val="both"/>
      </w:pPr>
      <w:r>
        <w:rPr>
          <w:rFonts w:ascii="Arial" w:hAnsi="Arial"/>
          <w:sz w:val="24"/>
          <w:szCs w:val="24"/>
          <w:lang w:val="en-US"/>
        </w:rPr>
        <w:t>88. Steiner IP. Emergency medicine practice and training in Canada. CMAJ [Internet]. 2003;168(12):1549</w:t>
      </w:r>
      <w:r>
        <w:rPr>
          <w:rFonts w:ascii="Arial" w:hAnsi="Arial"/>
          <w:sz w:val="24"/>
          <w:szCs w:val="24"/>
        </w:rPr>
        <w:t>–</w:t>
      </w:r>
      <w:r>
        <w:rPr>
          <w:rFonts w:ascii="Arial" w:hAnsi="Arial"/>
          <w:sz w:val="24"/>
          <w:szCs w:val="24"/>
          <w:lang w:val="en-US"/>
        </w:rPr>
        <w:t xml:space="preserve">50. Available from: </w:t>
      </w:r>
      <w:hyperlink r:id="rId49" w:history="1">
        <w:r>
          <w:rPr>
            <w:rStyle w:val="Hyperlink1"/>
            <w:rFonts w:ascii="Arial" w:hAnsi="Arial"/>
            <w:sz w:val="24"/>
            <w:szCs w:val="24"/>
            <w:lang w:val="en-US"/>
          </w:rPr>
          <w:t>http://www.pubmedcentral.nih.gov/articlerender.fcgi?artid=156687&amp;tool=pmcentrez&amp;rendertype=abstract</w:t>
        </w:r>
      </w:hyperlink>
    </w:p>
    <w:sectPr w:rsidR="00CF084F" w:rsidSect="005447BF">
      <w:headerReference w:type="default" r:id="rId50"/>
      <w:footerReference w:type="default" r:id="rId51"/>
      <w:pgSz w:w="11906" w:h="16838"/>
      <w:pgMar w:top="1134" w:right="1134" w:bottom="1134" w:left="1134" w:header="709" w:footer="851" w:gutter="0"/>
      <w:lnNumType w:countBy="1"/>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06266" w:rsidRDefault="00A06266">
      <w:r>
        <w:separator/>
      </w:r>
    </w:p>
  </w:endnote>
  <w:endnote w:type="continuationSeparator" w:id="0">
    <w:p w:rsidR="00A06266" w:rsidRDefault="00A062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panose1 w:val="02000503000000020004"/>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F084F" w:rsidRDefault="00346DCB">
    <w:pPr>
      <w:pStyle w:val="HeaderFooter"/>
      <w:tabs>
        <w:tab w:val="clear" w:pos="9020"/>
        <w:tab w:val="center" w:pos="4819"/>
        <w:tab w:val="right" w:pos="9638"/>
      </w:tabs>
    </w:pPr>
    <w:r>
      <w:rPr>
        <w:sz w:val="18"/>
        <w:szCs w:val="18"/>
      </w:rPr>
      <w:tab/>
    </w:r>
    <w:r>
      <w:rPr>
        <w:sz w:val="18"/>
        <w:szCs w:val="18"/>
      </w:rPr>
      <w:tab/>
    </w:r>
    <w:r>
      <w:rPr>
        <w:sz w:val="18"/>
        <w:szCs w:val="18"/>
      </w:rPr>
      <w:fldChar w:fldCharType="begin"/>
    </w:r>
    <w:r>
      <w:rPr>
        <w:sz w:val="18"/>
        <w:szCs w:val="18"/>
      </w:rPr>
      <w:instrText xml:space="preserve"> PAGE </w:instrText>
    </w:r>
    <w:r>
      <w:rPr>
        <w:sz w:val="18"/>
        <w:szCs w:val="18"/>
      </w:rPr>
      <w:fldChar w:fldCharType="separate"/>
    </w:r>
    <w:r>
      <w:rPr>
        <w:sz w:val="18"/>
        <w:szCs w:val="18"/>
      </w:rPr>
      <w:t>24</w:t>
    </w:r>
    <w:r>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06266" w:rsidRDefault="00A06266">
      <w:r>
        <w:separator/>
      </w:r>
    </w:p>
  </w:footnote>
  <w:footnote w:type="continuationSeparator" w:id="0">
    <w:p w:rsidR="00A06266" w:rsidRDefault="00A062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F084F" w:rsidRDefault="00CF084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8D345F"/>
    <w:multiLevelType w:val="hybridMultilevel"/>
    <w:tmpl w:val="9DA68DDA"/>
    <w:lvl w:ilvl="0" w:tplc="537AF668">
      <w:start w:val="1"/>
      <w:numFmt w:val="bullet"/>
      <w:lvlText w:val="•"/>
      <w:lvlJc w:val="left"/>
      <w:pPr>
        <w:tabs>
          <w:tab w:val="num" w:pos="720"/>
        </w:tabs>
        <w:ind w:left="720" w:hanging="360"/>
      </w:pPr>
      <w:rPr>
        <w:rFonts w:ascii="Arial" w:hAnsi="Arial" w:hint="default"/>
      </w:rPr>
    </w:lvl>
    <w:lvl w:ilvl="1" w:tplc="9B84AE08">
      <w:start w:val="1"/>
      <w:numFmt w:val="bullet"/>
      <w:lvlText w:val="•"/>
      <w:lvlJc w:val="left"/>
      <w:pPr>
        <w:tabs>
          <w:tab w:val="num" w:pos="1440"/>
        </w:tabs>
        <w:ind w:left="1440" w:hanging="360"/>
      </w:pPr>
      <w:rPr>
        <w:rFonts w:ascii="Arial" w:hAnsi="Arial" w:hint="default"/>
      </w:rPr>
    </w:lvl>
    <w:lvl w:ilvl="2" w:tplc="DEA84E44" w:tentative="1">
      <w:start w:val="1"/>
      <w:numFmt w:val="bullet"/>
      <w:lvlText w:val="•"/>
      <w:lvlJc w:val="left"/>
      <w:pPr>
        <w:tabs>
          <w:tab w:val="num" w:pos="2160"/>
        </w:tabs>
        <w:ind w:left="2160" w:hanging="360"/>
      </w:pPr>
      <w:rPr>
        <w:rFonts w:ascii="Arial" w:hAnsi="Arial" w:hint="default"/>
      </w:rPr>
    </w:lvl>
    <w:lvl w:ilvl="3" w:tplc="E3109304" w:tentative="1">
      <w:start w:val="1"/>
      <w:numFmt w:val="bullet"/>
      <w:lvlText w:val="•"/>
      <w:lvlJc w:val="left"/>
      <w:pPr>
        <w:tabs>
          <w:tab w:val="num" w:pos="2880"/>
        </w:tabs>
        <w:ind w:left="2880" w:hanging="360"/>
      </w:pPr>
      <w:rPr>
        <w:rFonts w:ascii="Arial" w:hAnsi="Arial" w:hint="default"/>
      </w:rPr>
    </w:lvl>
    <w:lvl w:ilvl="4" w:tplc="98E862BA" w:tentative="1">
      <w:start w:val="1"/>
      <w:numFmt w:val="bullet"/>
      <w:lvlText w:val="•"/>
      <w:lvlJc w:val="left"/>
      <w:pPr>
        <w:tabs>
          <w:tab w:val="num" w:pos="3600"/>
        </w:tabs>
        <w:ind w:left="3600" w:hanging="360"/>
      </w:pPr>
      <w:rPr>
        <w:rFonts w:ascii="Arial" w:hAnsi="Arial" w:hint="default"/>
      </w:rPr>
    </w:lvl>
    <w:lvl w:ilvl="5" w:tplc="D3BEC6B0" w:tentative="1">
      <w:start w:val="1"/>
      <w:numFmt w:val="bullet"/>
      <w:lvlText w:val="•"/>
      <w:lvlJc w:val="left"/>
      <w:pPr>
        <w:tabs>
          <w:tab w:val="num" w:pos="4320"/>
        </w:tabs>
        <w:ind w:left="4320" w:hanging="360"/>
      </w:pPr>
      <w:rPr>
        <w:rFonts w:ascii="Arial" w:hAnsi="Arial" w:hint="default"/>
      </w:rPr>
    </w:lvl>
    <w:lvl w:ilvl="6" w:tplc="F0385D42" w:tentative="1">
      <w:start w:val="1"/>
      <w:numFmt w:val="bullet"/>
      <w:lvlText w:val="•"/>
      <w:lvlJc w:val="left"/>
      <w:pPr>
        <w:tabs>
          <w:tab w:val="num" w:pos="5040"/>
        </w:tabs>
        <w:ind w:left="5040" w:hanging="360"/>
      </w:pPr>
      <w:rPr>
        <w:rFonts w:ascii="Arial" w:hAnsi="Arial" w:hint="default"/>
      </w:rPr>
    </w:lvl>
    <w:lvl w:ilvl="7" w:tplc="05D6433A" w:tentative="1">
      <w:start w:val="1"/>
      <w:numFmt w:val="bullet"/>
      <w:lvlText w:val="•"/>
      <w:lvlJc w:val="left"/>
      <w:pPr>
        <w:tabs>
          <w:tab w:val="num" w:pos="5760"/>
        </w:tabs>
        <w:ind w:left="5760" w:hanging="360"/>
      </w:pPr>
      <w:rPr>
        <w:rFonts w:ascii="Arial" w:hAnsi="Arial" w:hint="default"/>
      </w:rPr>
    </w:lvl>
    <w:lvl w:ilvl="8" w:tplc="9AB4784E"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2DEC6835"/>
    <w:multiLevelType w:val="hybridMultilevel"/>
    <w:tmpl w:val="0BC4D138"/>
    <w:lvl w:ilvl="0" w:tplc="06CAD2BA">
      <w:start w:val="1"/>
      <w:numFmt w:val="bullet"/>
      <w:lvlText w:val="•"/>
      <w:lvlJc w:val="left"/>
      <w:pPr>
        <w:tabs>
          <w:tab w:val="num" w:pos="720"/>
        </w:tabs>
        <w:ind w:left="720" w:hanging="360"/>
      </w:pPr>
      <w:rPr>
        <w:rFonts w:ascii="Arial" w:hAnsi="Arial" w:hint="default"/>
      </w:rPr>
    </w:lvl>
    <w:lvl w:ilvl="1" w:tplc="CFC6966E">
      <w:start w:val="1"/>
      <w:numFmt w:val="bullet"/>
      <w:lvlText w:val="•"/>
      <w:lvlJc w:val="left"/>
      <w:pPr>
        <w:tabs>
          <w:tab w:val="num" w:pos="1440"/>
        </w:tabs>
        <w:ind w:left="1440" w:hanging="360"/>
      </w:pPr>
      <w:rPr>
        <w:rFonts w:ascii="Arial" w:hAnsi="Arial" w:hint="default"/>
      </w:rPr>
    </w:lvl>
    <w:lvl w:ilvl="2" w:tplc="618EF176" w:tentative="1">
      <w:start w:val="1"/>
      <w:numFmt w:val="bullet"/>
      <w:lvlText w:val="•"/>
      <w:lvlJc w:val="left"/>
      <w:pPr>
        <w:tabs>
          <w:tab w:val="num" w:pos="2160"/>
        </w:tabs>
        <w:ind w:left="2160" w:hanging="360"/>
      </w:pPr>
      <w:rPr>
        <w:rFonts w:ascii="Arial" w:hAnsi="Arial" w:hint="default"/>
      </w:rPr>
    </w:lvl>
    <w:lvl w:ilvl="3" w:tplc="CE0C358A" w:tentative="1">
      <w:start w:val="1"/>
      <w:numFmt w:val="bullet"/>
      <w:lvlText w:val="•"/>
      <w:lvlJc w:val="left"/>
      <w:pPr>
        <w:tabs>
          <w:tab w:val="num" w:pos="2880"/>
        </w:tabs>
        <w:ind w:left="2880" w:hanging="360"/>
      </w:pPr>
      <w:rPr>
        <w:rFonts w:ascii="Arial" w:hAnsi="Arial" w:hint="default"/>
      </w:rPr>
    </w:lvl>
    <w:lvl w:ilvl="4" w:tplc="5A0C0DF4" w:tentative="1">
      <w:start w:val="1"/>
      <w:numFmt w:val="bullet"/>
      <w:lvlText w:val="•"/>
      <w:lvlJc w:val="left"/>
      <w:pPr>
        <w:tabs>
          <w:tab w:val="num" w:pos="3600"/>
        </w:tabs>
        <w:ind w:left="3600" w:hanging="360"/>
      </w:pPr>
      <w:rPr>
        <w:rFonts w:ascii="Arial" w:hAnsi="Arial" w:hint="default"/>
      </w:rPr>
    </w:lvl>
    <w:lvl w:ilvl="5" w:tplc="B8FE6ED0" w:tentative="1">
      <w:start w:val="1"/>
      <w:numFmt w:val="bullet"/>
      <w:lvlText w:val="•"/>
      <w:lvlJc w:val="left"/>
      <w:pPr>
        <w:tabs>
          <w:tab w:val="num" w:pos="4320"/>
        </w:tabs>
        <w:ind w:left="4320" w:hanging="360"/>
      </w:pPr>
      <w:rPr>
        <w:rFonts w:ascii="Arial" w:hAnsi="Arial" w:hint="default"/>
      </w:rPr>
    </w:lvl>
    <w:lvl w:ilvl="6" w:tplc="BE0C656E" w:tentative="1">
      <w:start w:val="1"/>
      <w:numFmt w:val="bullet"/>
      <w:lvlText w:val="•"/>
      <w:lvlJc w:val="left"/>
      <w:pPr>
        <w:tabs>
          <w:tab w:val="num" w:pos="5040"/>
        </w:tabs>
        <w:ind w:left="5040" w:hanging="360"/>
      </w:pPr>
      <w:rPr>
        <w:rFonts w:ascii="Arial" w:hAnsi="Arial" w:hint="default"/>
      </w:rPr>
    </w:lvl>
    <w:lvl w:ilvl="7" w:tplc="9AE4C6F8" w:tentative="1">
      <w:start w:val="1"/>
      <w:numFmt w:val="bullet"/>
      <w:lvlText w:val="•"/>
      <w:lvlJc w:val="left"/>
      <w:pPr>
        <w:tabs>
          <w:tab w:val="num" w:pos="5760"/>
        </w:tabs>
        <w:ind w:left="5760" w:hanging="360"/>
      </w:pPr>
      <w:rPr>
        <w:rFonts w:ascii="Arial" w:hAnsi="Arial" w:hint="default"/>
      </w:rPr>
    </w:lvl>
    <w:lvl w:ilvl="8" w:tplc="A78EA6D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4E4B571A"/>
    <w:multiLevelType w:val="hybridMultilevel"/>
    <w:tmpl w:val="B396FF8A"/>
    <w:lvl w:ilvl="0" w:tplc="12F0D64C">
      <w:start w:val="1"/>
      <w:numFmt w:val="bullet"/>
      <w:lvlText w:val="•"/>
      <w:lvlJc w:val="left"/>
      <w:pPr>
        <w:tabs>
          <w:tab w:val="num" w:pos="720"/>
        </w:tabs>
        <w:ind w:left="720" w:hanging="360"/>
      </w:pPr>
      <w:rPr>
        <w:rFonts w:ascii="Arial" w:hAnsi="Arial" w:hint="default"/>
      </w:rPr>
    </w:lvl>
    <w:lvl w:ilvl="1" w:tplc="C4707B04">
      <w:start w:val="1"/>
      <w:numFmt w:val="bullet"/>
      <w:lvlText w:val="•"/>
      <w:lvlJc w:val="left"/>
      <w:pPr>
        <w:tabs>
          <w:tab w:val="num" w:pos="1440"/>
        </w:tabs>
        <w:ind w:left="1440" w:hanging="360"/>
      </w:pPr>
      <w:rPr>
        <w:rFonts w:ascii="Arial" w:hAnsi="Arial" w:hint="default"/>
      </w:rPr>
    </w:lvl>
    <w:lvl w:ilvl="2" w:tplc="D98C8B62" w:tentative="1">
      <w:start w:val="1"/>
      <w:numFmt w:val="bullet"/>
      <w:lvlText w:val="•"/>
      <w:lvlJc w:val="left"/>
      <w:pPr>
        <w:tabs>
          <w:tab w:val="num" w:pos="2160"/>
        </w:tabs>
        <w:ind w:left="2160" w:hanging="360"/>
      </w:pPr>
      <w:rPr>
        <w:rFonts w:ascii="Arial" w:hAnsi="Arial" w:hint="default"/>
      </w:rPr>
    </w:lvl>
    <w:lvl w:ilvl="3" w:tplc="905A42B8" w:tentative="1">
      <w:start w:val="1"/>
      <w:numFmt w:val="bullet"/>
      <w:lvlText w:val="•"/>
      <w:lvlJc w:val="left"/>
      <w:pPr>
        <w:tabs>
          <w:tab w:val="num" w:pos="2880"/>
        </w:tabs>
        <w:ind w:left="2880" w:hanging="360"/>
      </w:pPr>
      <w:rPr>
        <w:rFonts w:ascii="Arial" w:hAnsi="Arial" w:hint="default"/>
      </w:rPr>
    </w:lvl>
    <w:lvl w:ilvl="4" w:tplc="D91ECEAE" w:tentative="1">
      <w:start w:val="1"/>
      <w:numFmt w:val="bullet"/>
      <w:lvlText w:val="•"/>
      <w:lvlJc w:val="left"/>
      <w:pPr>
        <w:tabs>
          <w:tab w:val="num" w:pos="3600"/>
        </w:tabs>
        <w:ind w:left="3600" w:hanging="360"/>
      </w:pPr>
      <w:rPr>
        <w:rFonts w:ascii="Arial" w:hAnsi="Arial" w:hint="default"/>
      </w:rPr>
    </w:lvl>
    <w:lvl w:ilvl="5" w:tplc="A1328506" w:tentative="1">
      <w:start w:val="1"/>
      <w:numFmt w:val="bullet"/>
      <w:lvlText w:val="•"/>
      <w:lvlJc w:val="left"/>
      <w:pPr>
        <w:tabs>
          <w:tab w:val="num" w:pos="4320"/>
        </w:tabs>
        <w:ind w:left="4320" w:hanging="360"/>
      </w:pPr>
      <w:rPr>
        <w:rFonts w:ascii="Arial" w:hAnsi="Arial" w:hint="default"/>
      </w:rPr>
    </w:lvl>
    <w:lvl w:ilvl="6" w:tplc="97F8A530" w:tentative="1">
      <w:start w:val="1"/>
      <w:numFmt w:val="bullet"/>
      <w:lvlText w:val="•"/>
      <w:lvlJc w:val="left"/>
      <w:pPr>
        <w:tabs>
          <w:tab w:val="num" w:pos="5040"/>
        </w:tabs>
        <w:ind w:left="5040" w:hanging="360"/>
      </w:pPr>
      <w:rPr>
        <w:rFonts w:ascii="Arial" w:hAnsi="Arial" w:hint="default"/>
      </w:rPr>
    </w:lvl>
    <w:lvl w:ilvl="7" w:tplc="D65AC394" w:tentative="1">
      <w:start w:val="1"/>
      <w:numFmt w:val="bullet"/>
      <w:lvlText w:val="•"/>
      <w:lvlJc w:val="left"/>
      <w:pPr>
        <w:tabs>
          <w:tab w:val="num" w:pos="5760"/>
        </w:tabs>
        <w:ind w:left="5760" w:hanging="360"/>
      </w:pPr>
      <w:rPr>
        <w:rFonts w:ascii="Arial" w:hAnsi="Arial" w:hint="default"/>
      </w:rPr>
    </w:lvl>
    <w:lvl w:ilvl="8" w:tplc="A04884C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63D95398"/>
    <w:multiLevelType w:val="hybridMultilevel"/>
    <w:tmpl w:val="6D36526A"/>
    <w:lvl w:ilvl="0" w:tplc="3BDE2404">
      <w:start w:val="1"/>
      <w:numFmt w:val="bullet"/>
      <w:lvlText w:val="•"/>
      <w:lvlJc w:val="left"/>
      <w:pPr>
        <w:tabs>
          <w:tab w:val="num" w:pos="720"/>
        </w:tabs>
        <w:ind w:left="720" w:hanging="360"/>
      </w:pPr>
      <w:rPr>
        <w:rFonts w:ascii="Arial" w:hAnsi="Arial" w:hint="default"/>
      </w:rPr>
    </w:lvl>
    <w:lvl w:ilvl="1" w:tplc="04987C90">
      <w:start w:val="1"/>
      <w:numFmt w:val="bullet"/>
      <w:lvlText w:val="•"/>
      <w:lvlJc w:val="left"/>
      <w:pPr>
        <w:tabs>
          <w:tab w:val="num" w:pos="1440"/>
        </w:tabs>
        <w:ind w:left="1440" w:hanging="360"/>
      </w:pPr>
      <w:rPr>
        <w:rFonts w:ascii="Arial" w:hAnsi="Arial" w:hint="default"/>
      </w:rPr>
    </w:lvl>
    <w:lvl w:ilvl="2" w:tplc="FCD2B0A6" w:tentative="1">
      <w:start w:val="1"/>
      <w:numFmt w:val="bullet"/>
      <w:lvlText w:val="•"/>
      <w:lvlJc w:val="left"/>
      <w:pPr>
        <w:tabs>
          <w:tab w:val="num" w:pos="2160"/>
        </w:tabs>
        <w:ind w:left="2160" w:hanging="360"/>
      </w:pPr>
      <w:rPr>
        <w:rFonts w:ascii="Arial" w:hAnsi="Arial" w:hint="default"/>
      </w:rPr>
    </w:lvl>
    <w:lvl w:ilvl="3" w:tplc="608096AE" w:tentative="1">
      <w:start w:val="1"/>
      <w:numFmt w:val="bullet"/>
      <w:lvlText w:val="•"/>
      <w:lvlJc w:val="left"/>
      <w:pPr>
        <w:tabs>
          <w:tab w:val="num" w:pos="2880"/>
        </w:tabs>
        <w:ind w:left="2880" w:hanging="360"/>
      </w:pPr>
      <w:rPr>
        <w:rFonts w:ascii="Arial" w:hAnsi="Arial" w:hint="default"/>
      </w:rPr>
    </w:lvl>
    <w:lvl w:ilvl="4" w:tplc="412A79A4" w:tentative="1">
      <w:start w:val="1"/>
      <w:numFmt w:val="bullet"/>
      <w:lvlText w:val="•"/>
      <w:lvlJc w:val="left"/>
      <w:pPr>
        <w:tabs>
          <w:tab w:val="num" w:pos="3600"/>
        </w:tabs>
        <w:ind w:left="3600" w:hanging="360"/>
      </w:pPr>
      <w:rPr>
        <w:rFonts w:ascii="Arial" w:hAnsi="Arial" w:hint="default"/>
      </w:rPr>
    </w:lvl>
    <w:lvl w:ilvl="5" w:tplc="085C24FA" w:tentative="1">
      <w:start w:val="1"/>
      <w:numFmt w:val="bullet"/>
      <w:lvlText w:val="•"/>
      <w:lvlJc w:val="left"/>
      <w:pPr>
        <w:tabs>
          <w:tab w:val="num" w:pos="4320"/>
        </w:tabs>
        <w:ind w:left="4320" w:hanging="360"/>
      </w:pPr>
      <w:rPr>
        <w:rFonts w:ascii="Arial" w:hAnsi="Arial" w:hint="default"/>
      </w:rPr>
    </w:lvl>
    <w:lvl w:ilvl="6" w:tplc="038EBFA0" w:tentative="1">
      <w:start w:val="1"/>
      <w:numFmt w:val="bullet"/>
      <w:lvlText w:val="•"/>
      <w:lvlJc w:val="left"/>
      <w:pPr>
        <w:tabs>
          <w:tab w:val="num" w:pos="5040"/>
        </w:tabs>
        <w:ind w:left="5040" w:hanging="360"/>
      </w:pPr>
      <w:rPr>
        <w:rFonts w:ascii="Arial" w:hAnsi="Arial" w:hint="default"/>
      </w:rPr>
    </w:lvl>
    <w:lvl w:ilvl="7" w:tplc="D6F4C952" w:tentative="1">
      <w:start w:val="1"/>
      <w:numFmt w:val="bullet"/>
      <w:lvlText w:val="•"/>
      <w:lvlJc w:val="left"/>
      <w:pPr>
        <w:tabs>
          <w:tab w:val="num" w:pos="5760"/>
        </w:tabs>
        <w:ind w:left="5760" w:hanging="360"/>
      </w:pPr>
      <w:rPr>
        <w:rFonts w:ascii="Arial" w:hAnsi="Arial" w:hint="default"/>
      </w:rPr>
    </w:lvl>
    <w:lvl w:ilvl="8" w:tplc="F8766E3A"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65110FFA"/>
    <w:multiLevelType w:val="hybridMultilevel"/>
    <w:tmpl w:val="137A6E24"/>
    <w:lvl w:ilvl="0" w:tplc="E3C22C78">
      <w:start w:val="1"/>
      <w:numFmt w:val="bullet"/>
      <w:lvlText w:val="•"/>
      <w:lvlJc w:val="left"/>
      <w:pPr>
        <w:tabs>
          <w:tab w:val="num" w:pos="720"/>
        </w:tabs>
        <w:ind w:left="720" w:hanging="360"/>
      </w:pPr>
      <w:rPr>
        <w:rFonts w:ascii="Arial" w:hAnsi="Arial" w:hint="default"/>
      </w:rPr>
    </w:lvl>
    <w:lvl w:ilvl="1" w:tplc="4BD46B0C">
      <w:start w:val="1"/>
      <w:numFmt w:val="bullet"/>
      <w:lvlText w:val="•"/>
      <w:lvlJc w:val="left"/>
      <w:pPr>
        <w:tabs>
          <w:tab w:val="num" w:pos="1440"/>
        </w:tabs>
        <w:ind w:left="1440" w:hanging="360"/>
      </w:pPr>
      <w:rPr>
        <w:rFonts w:ascii="Arial" w:hAnsi="Arial" w:hint="default"/>
      </w:rPr>
    </w:lvl>
    <w:lvl w:ilvl="2" w:tplc="22880D8A" w:tentative="1">
      <w:start w:val="1"/>
      <w:numFmt w:val="bullet"/>
      <w:lvlText w:val="•"/>
      <w:lvlJc w:val="left"/>
      <w:pPr>
        <w:tabs>
          <w:tab w:val="num" w:pos="2160"/>
        </w:tabs>
        <w:ind w:left="2160" w:hanging="360"/>
      </w:pPr>
      <w:rPr>
        <w:rFonts w:ascii="Arial" w:hAnsi="Arial" w:hint="default"/>
      </w:rPr>
    </w:lvl>
    <w:lvl w:ilvl="3" w:tplc="BD3E6E68" w:tentative="1">
      <w:start w:val="1"/>
      <w:numFmt w:val="bullet"/>
      <w:lvlText w:val="•"/>
      <w:lvlJc w:val="left"/>
      <w:pPr>
        <w:tabs>
          <w:tab w:val="num" w:pos="2880"/>
        </w:tabs>
        <w:ind w:left="2880" w:hanging="360"/>
      </w:pPr>
      <w:rPr>
        <w:rFonts w:ascii="Arial" w:hAnsi="Arial" w:hint="default"/>
      </w:rPr>
    </w:lvl>
    <w:lvl w:ilvl="4" w:tplc="F4B8DAC0" w:tentative="1">
      <w:start w:val="1"/>
      <w:numFmt w:val="bullet"/>
      <w:lvlText w:val="•"/>
      <w:lvlJc w:val="left"/>
      <w:pPr>
        <w:tabs>
          <w:tab w:val="num" w:pos="3600"/>
        </w:tabs>
        <w:ind w:left="3600" w:hanging="360"/>
      </w:pPr>
      <w:rPr>
        <w:rFonts w:ascii="Arial" w:hAnsi="Arial" w:hint="default"/>
      </w:rPr>
    </w:lvl>
    <w:lvl w:ilvl="5" w:tplc="BB18066C" w:tentative="1">
      <w:start w:val="1"/>
      <w:numFmt w:val="bullet"/>
      <w:lvlText w:val="•"/>
      <w:lvlJc w:val="left"/>
      <w:pPr>
        <w:tabs>
          <w:tab w:val="num" w:pos="4320"/>
        </w:tabs>
        <w:ind w:left="4320" w:hanging="360"/>
      </w:pPr>
      <w:rPr>
        <w:rFonts w:ascii="Arial" w:hAnsi="Arial" w:hint="default"/>
      </w:rPr>
    </w:lvl>
    <w:lvl w:ilvl="6" w:tplc="A37C7AFA" w:tentative="1">
      <w:start w:val="1"/>
      <w:numFmt w:val="bullet"/>
      <w:lvlText w:val="•"/>
      <w:lvlJc w:val="left"/>
      <w:pPr>
        <w:tabs>
          <w:tab w:val="num" w:pos="5040"/>
        </w:tabs>
        <w:ind w:left="5040" w:hanging="360"/>
      </w:pPr>
      <w:rPr>
        <w:rFonts w:ascii="Arial" w:hAnsi="Arial" w:hint="default"/>
      </w:rPr>
    </w:lvl>
    <w:lvl w:ilvl="7" w:tplc="4300C116" w:tentative="1">
      <w:start w:val="1"/>
      <w:numFmt w:val="bullet"/>
      <w:lvlText w:val="•"/>
      <w:lvlJc w:val="left"/>
      <w:pPr>
        <w:tabs>
          <w:tab w:val="num" w:pos="5760"/>
        </w:tabs>
        <w:ind w:left="5760" w:hanging="360"/>
      </w:pPr>
      <w:rPr>
        <w:rFonts w:ascii="Arial" w:hAnsi="Arial" w:hint="default"/>
      </w:rPr>
    </w:lvl>
    <w:lvl w:ilvl="8" w:tplc="F50692CC"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7D7C502F"/>
    <w:multiLevelType w:val="hybridMultilevel"/>
    <w:tmpl w:val="AE14A68E"/>
    <w:lvl w:ilvl="0" w:tplc="4232F5B6">
      <w:start w:val="1"/>
      <w:numFmt w:val="bullet"/>
      <w:lvlText w:val="•"/>
      <w:lvlJc w:val="left"/>
      <w:pPr>
        <w:tabs>
          <w:tab w:val="num" w:pos="720"/>
        </w:tabs>
        <w:ind w:left="720" w:hanging="360"/>
      </w:pPr>
      <w:rPr>
        <w:rFonts w:ascii="Arial" w:hAnsi="Arial" w:hint="default"/>
      </w:rPr>
    </w:lvl>
    <w:lvl w:ilvl="1" w:tplc="FA7625B0">
      <w:start w:val="1"/>
      <w:numFmt w:val="bullet"/>
      <w:lvlText w:val="•"/>
      <w:lvlJc w:val="left"/>
      <w:pPr>
        <w:tabs>
          <w:tab w:val="num" w:pos="1440"/>
        </w:tabs>
        <w:ind w:left="1440" w:hanging="360"/>
      </w:pPr>
      <w:rPr>
        <w:rFonts w:ascii="Arial" w:hAnsi="Arial" w:hint="default"/>
      </w:rPr>
    </w:lvl>
    <w:lvl w:ilvl="2" w:tplc="3C16A390" w:tentative="1">
      <w:start w:val="1"/>
      <w:numFmt w:val="bullet"/>
      <w:lvlText w:val="•"/>
      <w:lvlJc w:val="left"/>
      <w:pPr>
        <w:tabs>
          <w:tab w:val="num" w:pos="2160"/>
        </w:tabs>
        <w:ind w:left="2160" w:hanging="360"/>
      </w:pPr>
      <w:rPr>
        <w:rFonts w:ascii="Arial" w:hAnsi="Arial" w:hint="default"/>
      </w:rPr>
    </w:lvl>
    <w:lvl w:ilvl="3" w:tplc="5C162C2E" w:tentative="1">
      <w:start w:val="1"/>
      <w:numFmt w:val="bullet"/>
      <w:lvlText w:val="•"/>
      <w:lvlJc w:val="left"/>
      <w:pPr>
        <w:tabs>
          <w:tab w:val="num" w:pos="2880"/>
        </w:tabs>
        <w:ind w:left="2880" w:hanging="360"/>
      </w:pPr>
      <w:rPr>
        <w:rFonts w:ascii="Arial" w:hAnsi="Arial" w:hint="default"/>
      </w:rPr>
    </w:lvl>
    <w:lvl w:ilvl="4" w:tplc="687A7982" w:tentative="1">
      <w:start w:val="1"/>
      <w:numFmt w:val="bullet"/>
      <w:lvlText w:val="•"/>
      <w:lvlJc w:val="left"/>
      <w:pPr>
        <w:tabs>
          <w:tab w:val="num" w:pos="3600"/>
        </w:tabs>
        <w:ind w:left="3600" w:hanging="360"/>
      </w:pPr>
      <w:rPr>
        <w:rFonts w:ascii="Arial" w:hAnsi="Arial" w:hint="default"/>
      </w:rPr>
    </w:lvl>
    <w:lvl w:ilvl="5" w:tplc="FD5C5B56" w:tentative="1">
      <w:start w:val="1"/>
      <w:numFmt w:val="bullet"/>
      <w:lvlText w:val="•"/>
      <w:lvlJc w:val="left"/>
      <w:pPr>
        <w:tabs>
          <w:tab w:val="num" w:pos="4320"/>
        </w:tabs>
        <w:ind w:left="4320" w:hanging="360"/>
      </w:pPr>
      <w:rPr>
        <w:rFonts w:ascii="Arial" w:hAnsi="Arial" w:hint="default"/>
      </w:rPr>
    </w:lvl>
    <w:lvl w:ilvl="6" w:tplc="5D72664C" w:tentative="1">
      <w:start w:val="1"/>
      <w:numFmt w:val="bullet"/>
      <w:lvlText w:val="•"/>
      <w:lvlJc w:val="left"/>
      <w:pPr>
        <w:tabs>
          <w:tab w:val="num" w:pos="5040"/>
        </w:tabs>
        <w:ind w:left="5040" w:hanging="360"/>
      </w:pPr>
      <w:rPr>
        <w:rFonts w:ascii="Arial" w:hAnsi="Arial" w:hint="default"/>
      </w:rPr>
    </w:lvl>
    <w:lvl w:ilvl="7" w:tplc="0276C396" w:tentative="1">
      <w:start w:val="1"/>
      <w:numFmt w:val="bullet"/>
      <w:lvlText w:val="•"/>
      <w:lvlJc w:val="left"/>
      <w:pPr>
        <w:tabs>
          <w:tab w:val="num" w:pos="5760"/>
        </w:tabs>
        <w:ind w:left="5760" w:hanging="360"/>
      </w:pPr>
      <w:rPr>
        <w:rFonts w:ascii="Arial" w:hAnsi="Arial" w:hint="default"/>
      </w:rPr>
    </w:lvl>
    <w:lvl w:ilvl="8" w:tplc="F1423698"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7DD651B8"/>
    <w:multiLevelType w:val="hybridMultilevel"/>
    <w:tmpl w:val="A35EBF06"/>
    <w:lvl w:ilvl="0" w:tplc="EF1EDED2">
      <w:start w:val="1"/>
      <w:numFmt w:val="bullet"/>
      <w:lvlText w:val="•"/>
      <w:lvlJc w:val="left"/>
      <w:pPr>
        <w:tabs>
          <w:tab w:val="num" w:pos="720"/>
        </w:tabs>
        <w:ind w:left="720" w:hanging="360"/>
      </w:pPr>
      <w:rPr>
        <w:rFonts w:ascii="Arial" w:hAnsi="Arial" w:hint="default"/>
      </w:rPr>
    </w:lvl>
    <w:lvl w:ilvl="1" w:tplc="DD76746C">
      <w:start w:val="1"/>
      <w:numFmt w:val="bullet"/>
      <w:lvlText w:val="•"/>
      <w:lvlJc w:val="left"/>
      <w:pPr>
        <w:tabs>
          <w:tab w:val="num" w:pos="1440"/>
        </w:tabs>
        <w:ind w:left="1440" w:hanging="360"/>
      </w:pPr>
      <w:rPr>
        <w:rFonts w:ascii="Arial" w:hAnsi="Arial" w:hint="default"/>
      </w:rPr>
    </w:lvl>
    <w:lvl w:ilvl="2" w:tplc="D17AB568" w:tentative="1">
      <w:start w:val="1"/>
      <w:numFmt w:val="bullet"/>
      <w:lvlText w:val="•"/>
      <w:lvlJc w:val="left"/>
      <w:pPr>
        <w:tabs>
          <w:tab w:val="num" w:pos="2160"/>
        </w:tabs>
        <w:ind w:left="2160" w:hanging="360"/>
      </w:pPr>
      <w:rPr>
        <w:rFonts w:ascii="Arial" w:hAnsi="Arial" w:hint="default"/>
      </w:rPr>
    </w:lvl>
    <w:lvl w:ilvl="3" w:tplc="0838BEDE" w:tentative="1">
      <w:start w:val="1"/>
      <w:numFmt w:val="bullet"/>
      <w:lvlText w:val="•"/>
      <w:lvlJc w:val="left"/>
      <w:pPr>
        <w:tabs>
          <w:tab w:val="num" w:pos="2880"/>
        </w:tabs>
        <w:ind w:left="2880" w:hanging="360"/>
      </w:pPr>
      <w:rPr>
        <w:rFonts w:ascii="Arial" w:hAnsi="Arial" w:hint="default"/>
      </w:rPr>
    </w:lvl>
    <w:lvl w:ilvl="4" w:tplc="DDFE05B6" w:tentative="1">
      <w:start w:val="1"/>
      <w:numFmt w:val="bullet"/>
      <w:lvlText w:val="•"/>
      <w:lvlJc w:val="left"/>
      <w:pPr>
        <w:tabs>
          <w:tab w:val="num" w:pos="3600"/>
        </w:tabs>
        <w:ind w:left="3600" w:hanging="360"/>
      </w:pPr>
      <w:rPr>
        <w:rFonts w:ascii="Arial" w:hAnsi="Arial" w:hint="default"/>
      </w:rPr>
    </w:lvl>
    <w:lvl w:ilvl="5" w:tplc="5C4EB22C" w:tentative="1">
      <w:start w:val="1"/>
      <w:numFmt w:val="bullet"/>
      <w:lvlText w:val="•"/>
      <w:lvlJc w:val="left"/>
      <w:pPr>
        <w:tabs>
          <w:tab w:val="num" w:pos="4320"/>
        </w:tabs>
        <w:ind w:left="4320" w:hanging="360"/>
      </w:pPr>
      <w:rPr>
        <w:rFonts w:ascii="Arial" w:hAnsi="Arial" w:hint="default"/>
      </w:rPr>
    </w:lvl>
    <w:lvl w:ilvl="6" w:tplc="C9929A90" w:tentative="1">
      <w:start w:val="1"/>
      <w:numFmt w:val="bullet"/>
      <w:lvlText w:val="•"/>
      <w:lvlJc w:val="left"/>
      <w:pPr>
        <w:tabs>
          <w:tab w:val="num" w:pos="5040"/>
        </w:tabs>
        <w:ind w:left="5040" w:hanging="360"/>
      </w:pPr>
      <w:rPr>
        <w:rFonts w:ascii="Arial" w:hAnsi="Arial" w:hint="default"/>
      </w:rPr>
    </w:lvl>
    <w:lvl w:ilvl="7" w:tplc="30769D8C" w:tentative="1">
      <w:start w:val="1"/>
      <w:numFmt w:val="bullet"/>
      <w:lvlText w:val="•"/>
      <w:lvlJc w:val="left"/>
      <w:pPr>
        <w:tabs>
          <w:tab w:val="num" w:pos="5760"/>
        </w:tabs>
        <w:ind w:left="5760" w:hanging="360"/>
      </w:pPr>
      <w:rPr>
        <w:rFonts w:ascii="Arial" w:hAnsi="Arial" w:hint="default"/>
      </w:rPr>
    </w:lvl>
    <w:lvl w:ilvl="8" w:tplc="6D6AE7FC"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3"/>
  </w:num>
  <w:num w:numId="3">
    <w:abstractNumId w:val="5"/>
  </w:num>
  <w:num w:numId="4">
    <w:abstractNumId w:val="6"/>
  </w:num>
  <w:num w:numId="5">
    <w:abstractNumId w:val="4"/>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6"/>
  <w:proofState w:spelling="clean"/>
  <w:documentProtection w:edit="forms" w:enforcement="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084F"/>
    <w:rsid w:val="000129C7"/>
    <w:rsid w:val="000447B2"/>
    <w:rsid w:val="000A3BC0"/>
    <w:rsid w:val="00151AFC"/>
    <w:rsid w:val="00154B14"/>
    <w:rsid w:val="0017129E"/>
    <w:rsid w:val="001939C4"/>
    <w:rsid w:val="001D3A06"/>
    <w:rsid w:val="001E44FB"/>
    <w:rsid w:val="00297D19"/>
    <w:rsid w:val="002F0F3C"/>
    <w:rsid w:val="00346DCB"/>
    <w:rsid w:val="003E0C54"/>
    <w:rsid w:val="003E75FA"/>
    <w:rsid w:val="00416543"/>
    <w:rsid w:val="004A0764"/>
    <w:rsid w:val="00535D66"/>
    <w:rsid w:val="005447BF"/>
    <w:rsid w:val="005A6206"/>
    <w:rsid w:val="006501ED"/>
    <w:rsid w:val="00672AC6"/>
    <w:rsid w:val="00775106"/>
    <w:rsid w:val="00781036"/>
    <w:rsid w:val="00817A89"/>
    <w:rsid w:val="008B2BAE"/>
    <w:rsid w:val="00971166"/>
    <w:rsid w:val="009C1879"/>
    <w:rsid w:val="00A06266"/>
    <w:rsid w:val="00A97908"/>
    <w:rsid w:val="00AC2A24"/>
    <w:rsid w:val="00B06508"/>
    <w:rsid w:val="00B74F6E"/>
    <w:rsid w:val="00B8795F"/>
    <w:rsid w:val="00C832C1"/>
    <w:rsid w:val="00C936FB"/>
    <w:rsid w:val="00CC2324"/>
    <w:rsid w:val="00CC693A"/>
    <w:rsid w:val="00CF084F"/>
    <w:rsid w:val="00DA048C"/>
    <w:rsid w:val="00DA7D43"/>
    <w:rsid w:val="00DE3979"/>
    <w:rsid w:val="00F405EA"/>
    <w:rsid w:val="00FB4EEE"/>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14:docId w14:val="442F7A6E"/>
  <w15:docId w15:val="{C0F1A197-1B6F-DB47-8258-383ACD8D81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en-IN"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Pr>
      <w:sz w:val="24"/>
      <w:szCs w:val="24"/>
      <w:lang w:val="en-US"/>
    </w:rPr>
  </w:style>
  <w:style w:type="paragraph" w:styleId="Heading2">
    <w:name w:val="heading 2"/>
    <w:next w:val="Body"/>
    <w:pPr>
      <w:keepNext/>
      <w:outlineLvl w:val="1"/>
    </w:pPr>
    <w:rPr>
      <w:rFonts w:ascii="Helvetica Neue" w:hAnsi="Helvetica Neue" w:cs="Arial Unicode MS"/>
      <w:b/>
      <w:bCs/>
      <w:color w:val="000000"/>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rPr>
  </w:style>
  <w:style w:type="paragraph" w:customStyle="1" w:styleId="Body">
    <w:name w:val="Body"/>
    <w:rPr>
      <w:rFonts w:ascii="Helvetica Neue" w:hAnsi="Helvetica Neue" w:cs="Arial Unicode MS"/>
      <w:color w:val="000000"/>
      <w:sz w:val="22"/>
      <w:szCs w:val="22"/>
    </w:rPr>
  </w:style>
  <w:style w:type="character" w:customStyle="1" w:styleId="Hyperlink0">
    <w:name w:val="Hyperlink.0"/>
    <w:basedOn w:val="Hyperlink"/>
    <w:rPr>
      <w:u w:val="single"/>
    </w:rPr>
  </w:style>
  <w:style w:type="paragraph" w:customStyle="1" w:styleId="Heading">
    <w:name w:val="Heading"/>
    <w:next w:val="Body"/>
    <w:pPr>
      <w:keepNext/>
      <w:outlineLvl w:val="0"/>
    </w:pPr>
    <w:rPr>
      <w:rFonts w:ascii="Helvetica Neue" w:hAnsi="Helvetica Neue" w:cs="Arial Unicode MS"/>
      <w:b/>
      <w:bCs/>
      <w:color w:val="000000"/>
      <w:sz w:val="36"/>
      <w:szCs w:val="36"/>
      <w:lang w:val="en-US"/>
    </w:rPr>
  </w:style>
  <w:style w:type="paragraph" w:customStyle="1" w:styleId="TableStyle2">
    <w:name w:val="Table Style 2"/>
    <w:rPr>
      <w:rFonts w:ascii="Helvetica Neue" w:eastAsia="Helvetica Neue" w:hAnsi="Helvetica Neue" w:cs="Helvetica Neue"/>
      <w:color w:val="000000"/>
    </w:rPr>
  </w:style>
  <w:style w:type="paragraph" w:customStyle="1" w:styleId="TableTitle1">
    <w:name w:val="Table Title 1"/>
    <w:pPr>
      <w:jc w:val="center"/>
    </w:pPr>
    <w:rPr>
      <w:rFonts w:ascii="Helvetica Neue" w:eastAsia="Helvetica Neue" w:hAnsi="Helvetica Neue" w:cs="Helvetica Neue"/>
      <w:color w:val="000000"/>
      <w:sz w:val="24"/>
      <w:szCs w:val="24"/>
    </w:rPr>
  </w:style>
  <w:style w:type="character" w:customStyle="1" w:styleId="Hyperlink1">
    <w:name w:val="Hyperlink.1"/>
    <w:basedOn w:val="Hyperlink0"/>
    <w:rPr>
      <w:u w:val="none"/>
    </w:rPr>
  </w:style>
  <w:style w:type="character" w:customStyle="1" w:styleId="ncl">
    <w:name w:val="_ncl"/>
    <w:basedOn w:val="DefaultParagraphFont"/>
    <w:rsid w:val="00CC2324"/>
  </w:style>
  <w:style w:type="character" w:styleId="LineNumber">
    <w:name w:val="line number"/>
    <w:basedOn w:val="DefaultParagraphFont"/>
    <w:uiPriority w:val="99"/>
    <w:semiHidden/>
    <w:unhideWhenUsed/>
    <w:rsid w:val="005447BF"/>
  </w:style>
  <w:style w:type="paragraph" w:styleId="Caption">
    <w:name w:val="caption"/>
    <w:basedOn w:val="Normal"/>
    <w:next w:val="Normal"/>
    <w:uiPriority w:val="35"/>
    <w:unhideWhenUsed/>
    <w:qFormat/>
    <w:rsid w:val="0017129E"/>
    <w:rPr>
      <w:i/>
      <w:iCs/>
      <w:color w:val="5E5E5E"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288872">
      <w:bodyDiv w:val="1"/>
      <w:marLeft w:val="0"/>
      <w:marRight w:val="0"/>
      <w:marTop w:val="0"/>
      <w:marBottom w:val="0"/>
      <w:divBdr>
        <w:top w:val="none" w:sz="0" w:space="0" w:color="auto"/>
        <w:left w:val="none" w:sz="0" w:space="0" w:color="auto"/>
        <w:bottom w:val="none" w:sz="0" w:space="0" w:color="auto"/>
        <w:right w:val="none" w:sz="0" w:space="0" w:color="auto"/>
      </w:divBdr>
    </w:div>
    <w:div w:id="1231883918">
      <w:bodyDiv w:val="1"/>
      <w:marLeft w:val="0"/>
      <w:marRight w:val="0"/>
      <w:marTop w:val="0"/>
      <w:marBottom w:val="0"/>
      <w:divBdr>
        <w:top w:val="none" w:sz="0" w:space="0" w:color="auto"/>
        <w:left w:val="none" w:sz="0" w:space="0" w:color="auto"/>
        <w:bottom w:val="none" w:sz="0" w:space="0" w:color="auto"/>
        <w:right w:val="none" w:sz="0" w:space="0" w:color="auto"/>
      </w:divBdr>
    </w:div>
    <w:div w:id="1931960716">
      <w:bodyDiv w:val="1"/>
      <w:marLeft w:val="0"/>
      <w:marRight w:val="0"/>
      <w:marTop w:val="0"/>
      <w:marBottom w:val="0"/>
      <w:divBdr>
        <w:top w:val="none" w:sz="0" w:space="0" w:color="auto"/>
        <w:left w:val="none" w:sz="0" w:space="0" w:color="auto"/>
        <w:bottom w:val="none" w:sz="0" w:space="0" w:color="auto"/>
        <w:right w:val="none" w:sz="0" w:space="0" w:color="auto"/>
      </w:divBdr>
      <w:divsChild>
        <w:div w:id="1747725304">
          <w:marLeft w:val="1166"/>
          <w:marRight w:val="0"/>
          <w:marTop w:val="0"/>
          <w:marBottom w:val="0"/>
          <w:divBdr>
            <w:top w:val="none" w:sz="0" w:space="0" w:color="auto"/>
            <w:left w:val="none" w:sz="0" w:space="0" w:color="auto"/>
            <w:bottom w:val="none" w:sz="0" w:space="0" w:color="auto"/>
            <w:right w:val="none" w:sz="0" w:space="0" w:color="auto"/>
          </w:divBdr>
        </w:div>
        <w:div w:id="885917993">
          <w:marLeft w:val="1166"/>
          <w:marRight w:val="0"/>
          <w:marTop w:val="0"/>
          <w:marBottom w:val="0"/>
          <w:divBdr>
            <w:top w:val="none" w:sz="0" w:space="0" w:color="auto"/>
            <w:left w:val="none" w:sz="0" w:space="0" w:color="auto"/>
            <w:bottom w:val="none" w:sz="0" w:space="0" w:color="auto"/>
            <w:right w:val="none" w:sz="0" w:space="0" w:color="auto"/>
          </w:divBdr>
        </w:div>
        <w:div w:id="1303578161">
          <w:marLeft w:val="1166"/>
          <w:marRight w:val="0"/>
          <w:marTop w:val="0"/>
          <w:marBottom w:val="0"/>
          <w:divBdr>
            <w:top w:val="none" w:sz="0" w:space="0" w:color="auto"/>
            <w:left w:val="none" w:sz="0" w:space="0" w:color="auto"/>
            <w:bottom w:val="none" w:sz="0" w:space="0" w:color="auto"/>
            <w:right w:val="none" w:sz="0" w:space="0" w:color="auto"/>
          </w:divBdr>
        </w:div>
        <w:div w:id="1987781868">
          <w:marLeft w:val="1166"/>
          <w:marRight w:val="0"/>
          <w:marTop w:val="0"/>
          <w:marBottom w:val="0"/>
          <w:divBdr>
            <w:top w:val="none" w:sz="0" w:space="0" w:color="auto"/>
            <w:left w:val="none" w:sz="0" w:space="0" w:color="auto"/>
            <w:bottom w:val="none" w:sz="0" w:space="0" w:color="auto"/>
            <w:right w:val="none" w:sz="0" w:space="0" w:color="auto"/>
          </w:divBdr>
        </w:div>
        <w:div w:id="2002196257">
          <w:marLeft w:val="1166"/>
          <w:marRight w:val="0"/>
          <w:marTop w:val="0"/>
          <w:marBottom w:val="0"/>
          <w:divBdr>
            <w:top w:val="none" w:sz="0" w:space="0" w:color="auto"/>
            <w:left w:val="none" w:sz="0" w:space="0" w:color="auto"/>
            <w:bottom w:val="none" w:sz="0" w:space="0" w:color="auto"/>
            <w:right w:val="none" w:sz="0" w:space="0" w:color="auto"/>
          </w:divBdr>
        </w:div>
        <w:div w:id="688023247">
          <w:marLeft w:val="1166"/>
          <w:marRight w:val="0"/>
          <w:marTop w:val="0"/>
          <w:marBottom w:val="0"/>
          <w:divBdr>
            <w:top w:val="none" w:sz="0" w:space="0" w:color="auto"/>
            <w:left w:val="none" w:sz="0" w:space="0" w:color="auto"/>
            <w:bottom w:val="none" w:sz="0" w:space="0" w:color="auto"/>
            <w:right w:val="none" w:sz="0" w:space="0" w:color="auto"/>
          </w:divBdr>
        </w:div>
        <w:div w:id="40129199">
          <w:marLeft w:val="1166"/>
          <w:marRight w:val="0"/>
          <w:marTop w:val="0"/>
          <w:marBottom w:val="0"/>
          <w:divBdr>
            <w:top w:val="none" w:sz="0" w:space="0" w:color="auto"/>
            <w:left w:val="none" w:sz="0" w:space="0" w:color="auto"/>
            <w:bottom w:val="none" w:sz="0" w:space="0" w:color="auto"/>
            <w:right w:val="none" w:sz="0" w:space="0" w:color="auto"/>
          </w:divBdr>
        </w:div>
        <w:div w:id="1539656482">
          <w:marLeft w:val="1166"/>
          <w:marRight w:val="0"/>
          <w:marTop w:val="0"/>
          <w:marBottom w:val="0"/>
          <w:divBdr>
            <w:top w:val="none" w:sz="0" w:space="0" w:color="auto"/>
            <w:left w:val="none" w:sz="0" w:space="0" w:color="auto"/>
            <w:bottom w:val="none" w:sz="0" w:space="0" w:color="auto"/>
            <w:right w:val="none" w:sz="0" w:space="0" w:color="auto"/>
          </w:divBdr>
        </w:div>
        <w:div w:id="1096831210">
          <w:marLeft w:val="1166"/>
          <w:marRight w:val="0"/>
          <w:marTop w:val="0"/>
          <w:marBottom w:val="0"/>
          <w:divBdr>
            <w:top w:val="none" w:sz="0" w:space="0" w:color="auto"/>
            <w:left w:val="none" w:sz="0" w:space="0" w:color="auto"/>
            <w:bottom w:val="none" w:sz="0" w:space="0" w:color="auto"/>
            <w:right w:val="none" w:sz="0" w:space="0" w:color="auto"/>
          </w:divBdr>
        </w:div>
        <w:div w:id="1867399128">
          <w:marLeft w:val="1166"/>
          <w:marRight w:val="0"/>
          <w:marTop w:val="0"/>
          <w:marBottom w:val="0"/>
          <w:divBdr>
            <w:top w:val="none" w:sz="0" w:space="0" w:color="auto"/>
            <w:left w:val="none" w:sz="0" w:space="0" w:color="auto"/>
            <w:bottom w:val="none" w:sz="0" w:space="0" w:color="auto"/>
            <w:right w:val="none" w:sz="0" w:space="0" w:color="auto"/>
          </w:divBdr>
        </w:div>
        <w:div w:id="1566335875">
          <w:marLeft w:val="1166"/>
          <w:marRight w:val="0"/>
          <w:marTop w:val="0"/>
          <w:marBottom w:val="0"/>
          <w:divBdr>
            <w:top w:val="none" w:sz="0" w:space="0" w:color="auto"/>
            <w:left w:val="none" w:sz="0" w:space="0" w:color="auto"/>
            <w:bottom w:val="none" w:sz="0" w:space="0" w:color="auto"/>
            <w:right w:val="none" w:sz="0" w:space="0" w:color="auto"/>
          </w:divBdr>
        </w:div>
        <w:div w:id="1097559769">
          <w:marLeft w:val="1166"/>
          <w:marRight w:val="0"/>
          <w:marTop w:val="0"/>
          <w:marBottom w:val="0"/>
          <w:divBdr>
            <w:top w:val="none" w:sz="0" w:space="0" w:color="auto"/>
            <w:left w:val="none" w:sz="0" w:space="0" w:color="auto"/>
            <w:bottom w:val="none" w:sz="0" w:space="0" w:color="auto"/>
            <w:right w:val="none" w:sz="0" w:space="0" w:color="auto"/>
          </w:divBdr>
        </w:div>
        <w:div w:id="1772431697">
          <w:marLeft w:val="1166"/>
          <w:marRight w:val="0"/>
          <w:marTop w:val="0"/>
          <w:marBottom w:val="0"/>
          <w:divBdr>
            <w:top w:val="none" w:sz="0" w:space="0" w:color="auto"/>
            <w:left w:val="none" w:sz="0" w:space="0" w:color="auto"/>
            <w:bottom w:val="none" w:sz="0" w:space="0" w:color="auto"/>
            <w:right w:val="none" w:sz="0" w:space="0" w:color="auto"/>
          </w:divBdr>
        </w:div>
        <w:div w:id="784620752">
          <w:marLeft w:val="1166"/>
          <w:marRight w:val="0"/>
          <w:marTop w:val="0"/>
          <w:marBottom w:val="0"/>
          <w:divBdr>
            <w:top w:val="none" w:sz="0" w:space="0" w:color="auto"/>
            <w:left w:val="none" w:sz="0" w:space="0" w:color="auto"/>
            <w:bottom w:val="none" w:sz="0" w:space="0" w:color="auto"/>
            <w:right w:val="none" w:sz="0" w:space="0" w:color="auto"/>
          </w:divBdr>
        </w:div>
        <w:div w:id="64570765">
          <w:marLeft w:val="1166"/>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hyperlink" Target="http://archsurg.jamanetwork.com/article.aspx?doi=10.1001/archsurg.2008.540" TargetMode="External"/><Relationship Id="rId18" Type="http://schemas.openxmlformats.org/officeDocument/2006/relationships/hyperlink" Target="http://bmjopen.bmj.com/lookup/doi/10.1136/bmjopen-2011-000369" TargetMode="External"/><Relationship Id="rId26" Type="http://schemas.openxmlformats.org/officeDocument/2006/relationships/hyperlink" Target="http://www.hindawi.com/isrn/em/2012/461274/" TargetMode="External"/><Relationship Id="rId39" Type="http://schemas.openxmlformats.org/officeDocument/2006/relationships/hyperlink" Target="http://www.tandfonline.com/doi/abs/10.1080/17441692.2010.535008" TargetMode="External"/><Relationship Id="rId21" Type="http://schemas.openxmlformats.org/officeDocument/2006/relationships/hyperlink" Target="http://www.biomedcentral.com/1472-698X/12/1" TargetMode="External"/><Relationship Id="rId34" Type="http://schemas.openxmlformats.org/officeDocument/2006/relationships/hyperlink" Target="http://link.springer.com/10.1007/s00268-017-3918-6" TargetMode="External"/><Relationship Id="rId42" Type="http://schemas.openxmlformats.org/officeDocument/2006/relationships/hyperlink" Target="http://oxfordsfx.hosted.exlibrisgroup.com/oxford?sid=OVID:medline&amp;id=pmid:21269453&amp;id=doi:10.1186%2F1478-4491-9-4&amp;issn=1478-4491&amp;isbn=&amp;volume=9&amp;issue=&amp;spage=4&amp;pages=4&amp;da" TargetMode="External"/><Relationship Id="rId47" Type="http://schemas.openxmlformats.org/officeDocument/2006/relationships/hyperlink" Target="http://ccforum.biomedcentral.com/articles/10.1186/cc11140" TargetMode="External"/><Relationship Id="rId50" Type="http://schemas.openxmlformats.org/officeDocument/2006/relationships/header" Target="header1.xml"/><Relationship Id="rId7" Type="http://schemas.openxmlformats.org/officeDocument/2006/relationships/hyperlink" Target="mailto:anahitasharma@doctors.org.uk" TargetMode="External"/><Relationship Id="rId2" Type="http://schemas.openxmlformats.org/officeDocument/2006/relationships/styles" Target="styles.xml"/><Relationship Id="rId16" Type="http://schemas.openxmlformats.org/officeDocument/2006/relationships/hyperlink" Target="http://dx.doi.org/10.1016/j.afjem.2012.06.002" TargetMode="External"/><Relationship Id="rId29" Type="http://schemas.openxmlformats.org/officeDocument/2006/relationships/hyperlink" Target="http://dx.doi.org/10.1016/j.afjem.2011.10.008" TargetMode="External"/><Relationship Id="rId11" Type="http://schemas.openxmlformats.org/officeDocument/2006/relationships/hyperlink" Target="http://www.ncbi.nlm.nih.gov/pubmed/19565961" TargetMode="External"/><Relationship Id="rId24" Type="http://schemas.openxmlformats.org/officeDocument/2006/relationships/hyperlink" Target="http://www.ncbi.nlm.nih.gov/pubmed/22668810" TargetMode="External"/><Relationship Id="rId32" Type="http://schemas.openxmlformats.org/officeDocument/2006/relationships/hyperlink" Target="http://dx.doi.org/10.1016/j.jcrc.2008.06.014" TargetMode="External"/><Relationship Id="rId37" Type="http://schemas.openxmlformats.org/officeDocument/2006/relationships/hyperlink" Target="http://www.jintensivecare.com/content/3/1/40" TargetMode="External"/><Relationship Id="rId40" Type="http://schemas.openxmlformats.org/officeDocument/2006/relationships/hyperlink" Target="http://www.intjem.com/content/8/1/42" TargetMode="External"/><Relationship Id="rId45" Type="http://schemas.openxmlformats.org/officeDocument/2006/relationships/hyperlink" Target="http://dx.doi.org/10.1016/j.jcrc.2015.04.003" TargetMode="External"/><Relationship Id="rId53"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hyperlink" Target="http://intjem.springeropen.com/articles/10.1186/s12245-016-0118-3" TargetMode="External"/><Relationship Id="rId19" Type="http://schemas.openxmlformats.org/officeDocument/2006/relationships/hyperlink" Target="http://www.springerlink.com/index/10.1007/s12245-008-0033-3" TargetMode="External"/><Relationship Id="rId31" Type="http://schemas.openxmlformats.org/officeDocument/2006/relationships/hyperlink" Target="http://www.magonlinelibrary.com/doi/abs/10.12968/hmed.2014.75.11.612" TargetMode="External"/><Relationship Id="rId44" Type="http://schemas.openxmlformats.org/officeDocument/2006/relationships/hyperlink" Target="http://www.bmj.com/lookup/doi/10.1136/bmj.i2781" TargetMode="External"/><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dx.doi.org/10.1186/s12245-015-0069-0" TargetMode="External"/><Relationship Id="rId14" Type="http://schemas.openxmlformats.org/officeDocument/2006/relationships/hyperlink" Target="http://dx.doi.org/10.1016/j.afjem.2013.12.002" TargetMode="External"/><Relationship Id="rId22" Type="http://schemas.openxmlformats.org/officeDocument/2006/relationships/hyperlink" Target="http://www.intjem.com/content/8/1/30" TargetMode="External"/><Relationship Id="rId27" Type="http://schemas.openxmlformats.org/officeDocument/2006/relationships/hyperlink" Target="http://dx.doi.org/10.1016/j.afjem.2012.11.006" TargetMode="External"/><Relationship Id="rId30" Type="http://schemas.openxmlformats.org/officeDocument/2006/relationships/hyperlink" Target="http://www.who.int/entity/bulletin/volumes/89/8/11-086892.pdf" TargetMode="External"/><Relationship Id="rId35" Type="http://schemas.openxmlformats.org/officeDocument/2006/relationships/hyperlink" Target="http://bmchealthservres.biomedcentral.com/articles/10.1186/s12913-015-1147-y" TargetMode="External"/><Relationship Id="rId43" Type="http://schemas.openxmlformats.org/officeDocument/2006/relationships/hyperlink" Target="http://content.wkhealth.com/linkback/openurl?sid=WKPTLP:landingpage&amp;an=00003246-201007000-00002" TargetMode="External"/><Relationship Id="rId48" Type="http://schemas.openxmlformats.org/officeDocument/2006/relationships/hyperlink" Target="http://cjem-online.ca/v3/n2/p109/ii" TargetMode="External"/><Relationship Id="rId8" Type="http://schemas.openxmlformats.org/officeDocument/2006/relationships/hyperlink" Target="http://dx.doi.org/10.1016/j.annemergmed.2010.01.013" TargetMode="External"/><Relationship Id="rId51" Type="http://schemas.openxmlformats.org/officeDocument/2006/relationships/footer" Target="footer1.xml"/><Relationship Id="rId3" Type="http://schemas.openxmlformats.org/officeDocument/2006/relationships/settings" Target="settings.xml"/><Relationship Id="rId12" Type="http://schemas.openxmlformats.org/officeDocument/2006/relationships/hyperlink" Target="http://bmcemergmed.biomedcentral.com/articles/10.1186/1471-227X-8-11" TargetMode="External"/><Relationship Id="rId17" Type="http://schemas.openxmlformats.org/officeDocument/2006/relationships/hyperlink" Target="http://link.springer.com/10.1057/jphp.2012.41" TargetMode="External"/><Relationship Id="rId25" Type="http://schemas.openxmlformats.org/officeDocument/2006/relationships/hyperlink" Target="http://www.pubmedcentral.nih.gov/articlerender.fcgi?artid=3727950&amp;tool=pmcentrez&amp;rendertype=abstract" TargetMode="External"/><Relationship Id="rId33" Type="http://schemas.openxmlformats.org/officeDocument/2006/relationships/hyperlink" Target="http://www.pubmedcentral.nih.gov/articlerender.fcgi?artid=3518169&amp;tool=pmcentrez&amp;rendertype=abstract" TargetMode="External"/><Relationship Id="rId38" Type="http://schemas.openxmlformats.org/officeDocument/2006/relationships/hyperlink" Target="http://bmjopen.bmj.com/lookup/doi/10.1136/bmjopen-2015-009841" TargetMode="External"/><Relationship Id="rId46" Type="http://schemas.openxmlformats.org/officeDocument/2006/relationships/hyperlink" Target="http://dx.doi.org/10.1016/j.jss.2014.09.040" TargetMode="External"/><Relationship Id="rId20" Type="http://schemas.openxmlformats.org/officeDocument/2006/relationships/hyperlink" Target="http://emj.bmj.com/lookup/doi/10.1136/emermed-2011-200695" TargetMode="External"/><Relationship Id="rId41" Type="http://schemas.openxmlformats.org/officeDocument/2006/relationships/hyperlink" Target="http://www.emeraldinsight.com/doi/10.1108/09526861111150725"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bmchealthservres.biomedcentral.com/articles/10.1186/1472-6963-13-140" TargetMode="External"/><Relationship Id="rId23" Type="http://schemas.openxmlformats.org/officeDocument/2006/relationships/hyperlink" Target="http://link.springer.com/article/10.1186/s12245-016-0124-5" TargetMode="External"/><Relationship Id="rId28" Type="http://schemas.openxmlformats.org/officeDocument/2006/relationships/hyperlink" Target="http://www.escholarship.org/uc/item/9gv4h27b" TargetMode="External"/><Relationship Id="rId36" Type="http://schemas.openxmlformats.org/officeDocument/2006/relationships/hyperlink" Target="http://www.journals.cambridge.org/abstract_S1049023X15005221" TargetMode="External"/><Relationship Id="rId49" Type="http://schemas.openxmlformats.org/officeDocument/2006/relationships/hyperlink" Target="http://www.pubmedcentral.nih.gov/articlerender.fcgi?artid=156687&amp;tool=pmcentrez&amp;rendertype=abstract" TargetMode="Externa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6D5D5"/>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w="12700" cap="flat">
          <a:noFill/>
          <a:miter lim="400000"/>
        </a:ln>
        <a:effectLst/>
        <a:sp3d/>
      </a:spPr>
      <a:bodyPr rot="0" spcFirstLastPara="1" vertOverflow="overflow" horzOverflow="overflow" vert="horz" wrap="square" lIns="101600" tIns="101600" rIns="101600" bIns="1016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95</TotalTime>
  <Pages>27</Pages>
  <Words>7978</Words>
  <Characters>45478</Characters>
  <Application>Microsoft Office Word</Application>
  <DocSecurity>0</DocSecurity>
  <Lines>378</Lines>
  <Paragraphs>106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anahitaasharma@gmail.com</cp:lastModifiedBy>
  <cp:revision>26</cp:revision>
  <dcterms:created xsi:type="dcterms:W3CDTF">2018-06-11T22:55:00Z</dcterms:created>
  <dcterms:modified xsi:type="dcterms:W3CDTF">2019-02-23T11:28:00Z</dcterms:modified>
</cp:coreProperties>
</file>