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0B34" w:rsidRDefault="00B50B34" w:rsidP="00B50B34">
      <w:pPr>
        <w:spacing w:before="29" w:line="480" w:lineRule="auto"/>
        <w:ind w:left="389" w:right="362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noProof/>
          <w:sz w:val="24"/>
          <w:szCs w:val="24"/>
          <w:lang w:val="en-GB"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-422910</wp:posOffset>
            </wp:positionH>
            <wp:positionV relativeFrom="paragraph">
              <wp:posOffset>-268605</wp:posOffset>
            </wp:positionV>
            <wp:extent cx="6487160" cy="4051300"/>
            <wp:effectExtent l="19050" t="0" r="8890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21676" t="13218" r="11943" b="126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7160" cy="405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50B34" w:rsidRPr="00733F8F" w:rsidRDefault="00B50B34" w:rsidP="00B50B34">
      <w:pPr>
        <w:spacing w:before="29" w:line="480" w:lineRule="auto"/>
        <w:ind w:left="389" w:right="362"/>
        <w:jc w:val="both"/>
        <w:rPr>
          <w:rFonts w:ascii="Arial" w:eastAsia="Arial" w:hAnsi="Arial" w:cs="Arial"/>
          <w:sz w:val="24"/>
          <w:szCs w:val="24"/>
        </w:rPr>
      </w:pPr>
      <w:r w:rsidRPr="00733F8F">
        <w:rPr>
          <w:rFonts w:ascii="Arial" w:eastAsia="Arial" w:hAnsi="Arial" w:cs="Arial"/>
          <w:b/>
          <w:sz w:val="24"/>
          <w:szCs w:val="24"/>
        </w:rPr>
        <w:t xml:space="preserve">Figure 1. </w:t>
      </w:r>
      <w:r w:rsidRPr="00733F8F">
        <w:rPr>
          <w:rFonts w:ascii="Arial" w:eastAsia="Arial" w:hAnsi="Arial" w:cs="Arial"/>
          <w:sz w:val="24"/>
          <w:szCs w:val="24"/>
        </w:rPr>
        <w:t xml:space="preserve">The molecular </w:t>
      </w:r>
      <w:proofErr w:type="spellStart"/>
      <w:r w:rsidRPr="00733F8F">
        <w:rPr>
          <w:rFonts w:ascii="Arial" w:eastAsia="Arial" w:hAnsi="Arial" w:cs="Arial"/>
          <w:sz w:val="24"/>
          <w:szCs w:val="24"/>
        </w:rPr>
        <w:t>signalling</w:t>
      </w:r>
      <w:proofErr w:type="spellEnd"/>
      <w:r w:rsidRPr="00733F8F">
        <w:rPr>
          <w:rFonts w:ascii="Arial" w:eastAsia="Arial" w:hAnsi="Arial" w:cs="Arial"/>
          <w:sz w:val="24"/>
          <w:szCs w:val="24"/>
        </w:rPr>
        <w:t xml:space="preserve"> leading to the Nod-like Receptor Family </w:t>
      </w:r>
      <w:proofErr w:type="spellStart"/>
      <w:r w:rsidRPr="00733F8F">
        <w:rPr>
          <w:rFonts w:ascii="Arial" w:eastAsia="Arial" w:hAnsi="Arial" w:cs="Arial"/>
          <w:sz w:val="24"/>
          <w:szCs w:val="24"/>
        </w:rPr>
        <w:t>Pyrin</w:t>
      </w:r>
      <w:proofErr w:type="spellEnd"/>
      <w:r w:rsidRPr="00733F8F">
        <w:rPr>
          <w:rFonts w:ascii="Arial" w:eastAsia="Arial" w:hAnsi="Arial" w:cs="Arial"/>
          <w:sz w:val="24"/>
          <w:szCs w:val="24"/>
        </w:rPr>
        <w:t xml:space="preserve"> Domain  Containing  3  (NLRP3)  </w:t>
      </w:r>
      <w:proofErr w:type="spellStart"/>
      <w:r w:rsidRPr="00733F8F">
        <w:rPr>
          <w:rFonts w:ascii="Arial" w:eastAsia="Arial" w:hAnsi="Arial" w:cs="Arial"/>
          <w:sz w:val="24"/>
          <w:szCs w:val="24"/>
        </w:rPr>
        <w:t>inflammasome</w:t>
      </w:r>
      <w:proofErr w:type="spellEnd"/>
      <w:r w:rsidRPr="00733F8F">
        <w:rPr>
          <w:rFonts w:ascii="Arial" w:eastAsia="Arial" w:hAnsi="Arial" w:cs="Arial"/>
          <w:sz w:val="24"/>
          <w:szCs w:val="24"/>
        </w:rPr>
        <w:t xml:space="preserve">  assembly  is  illustrated.  This  is initiated  by  myocardial  infarction.  Necrosis  of  </w:t>
      </w:r>
      <w:proofErr w:type="spellStart"/>
      <w:r w:rsidRPr="00733F8F">
        <w:rPr>
          <w:rFonts w:ascii="Arial" w:eastAsia="Arial" w:hAnsi="Arial" w:cs="Arial"/>
          <w:sz w:val="24"/>
          <w:szCs w:val="24"/>
        </w:rPr>
        <w:t>cardiomyocytes</w:t>
      </w:r>
      <w:proofErr w:type="spellEnd"/>
      <w:r w:rsidRPr="00733F8F">
        <w:rPr>
          <w:rFonts w:ascii="Arial" w:eastAsia="Arial" w:hAnsi="Arial" w:cs="Arial"/>
          <w:sz w:val="24"/>
          <w:szCs w:val="24"/>
        </w:rPr>
        <w:t xml:space="preserve">  form  the  initial infarct region. Signal 1 (priming signal) in the form of a toll-like receptor (TLR) agonist, activates the TLR, causing mRNA synthesis for NLRP3 </w:t>
      </w:r>
      <w:proofErr w:type="spellStart"/>
      <w:r w:rsidRPr="00733F8F">
        <w:rPr>
          <w:rFonts w:ascii="Arial" w:eastAsia="Arial" w:hAnsi="Arial" w:cs="Arial"/>
          <w:sz w:val="24"/>
          <w:szCs w:val="24"/>
        </w:rPr>
        <w:t>inflammasome</w:t>
      </w:r>
      <w:proofErr w:type="spellEnd"/>
      <w:r w:rsidRPr="00733F8F">
        <w:rPr>
          <w:rFonts w:ascii="Arial" w:eastAsia="Arial" w:hAnsi="Arial" w:cs="Arial"/>
          <w:sz w:val="24"/>
          <w:szCs w:val="24"/>
        </w:rPr>
        <w:t xml:space="preserve"> components;  NLRP3,  adaptor  protein  apoptosis-associated  speck-like  protein containing  CARD  (ASC),  pro-caspase-1,  pro-interleukin-1β  (pro-  IL-1β),  pro- interleukin-18  (pro-IL-18).  Adenosine  </w:t>
      </w:r>
      <w:proofErr w:type="spellStart"/>
      <w:r w:rsidRPr="00733F8F">
        <w:rPr>
          <w:rFonts w:ascii="Arial" w:eastAsia="Arial" w:hAnsi="Arial" w:cs="Arial"/>
          <w:sz w:val="24"/>
          <w:szCs w:val="24"/>
        </w:rPr>
        <w:t>triphosphate</w:t>
      </w:r>
      <w:proofErr w:type="spellEnd"/>
      <w:r w:rsidRPr="00733F8F">
        <w:rPr>
          <w:rFonts w:ascii="Arial" w:eastAsia="Arial" w:hAnsi="Arial" w:cs="Arial"/>
          <w:sz w:val="24"/>
          <w:szCs w:val="24"/>
        </w:rPr>
        <w:t xml:space="preserve">  (ATP),  acting  as  a  trigger </w:t>
      </w:r>
      <w:r w:rsidRPr="00733F8F">
        <w:rPr>
          <w:rFonts w:ascii="Arial" w:eastAsia="Arial" w:hAnsi="Arial" w:cs="Arial"/>
          <w:position w:val="2"/>
          <w:sz w:val="24"/>
          <w:szCs w:val="24"/>
        </w:rPr>
        <w:t>signal  (signal  2),  activates  P</w:t>
      </w:r>
      <w:r w:rsidRPr="00733F8F">
        <w:rPr>
          <w:rFonts w:ascii="Arial" w:eastAsia="Arial" w:hAnsi="Arial" w:cs="Arial"/>
          <w:w w:val="98"/>
          <w:sz w:val="24"/>
          <w:szCs w:val="24"/>
        </w:rPr>
        <w:t>2</w:t>
      </w:r>
      <w:r w:rsidRPr="00733F8F">
        <w:rPr>
          <w:rFonts w:ascii="Arial" w:eastAsia="Arial" w:hAnsi="Arial" w:cs="Arial"/>
          <w:position w:val="2"/>
          <w:sz w:val="24"/>
          <w:szCs w:val="24"/>
        </w:rPr>
        <w:t>X</w:t>
      </w:r>
      <w:r w:rsidRPr="00733F8F">
        <w:rPr>
          <w:rFonts w:ascii="Arial" w:eastAsia="Arial" w:hAnsi="Arial" w:cs="Arial"/>
          <w:w w:val="98"/>
          <w:sz w:val="24"/>
          <w:szCs w:val="24"/>
        </w:rPr>
        <w:t>7</w:t>
      </w:r>
      <w:r w:rsidRPr="00733F8F">
        <w:rPr>
          <w:rFonts w:ascii="Arial" w:eastAsia="Arial" w:hAnsi="Arial" w:cs="Arial"/>
          <w:sz w:val="24"/>
          <w:szCs w:val="24"/>
        </w:rPr>
        <w:t xml:space="preserve">  </w:t>
      </w:r>
      <w:r w:rsidRPr="00733F8F">
        <w:rPr>
          <w:rFonts w:ascii="Arial" w:eastAsia="Arial" w:hAnsi="Arial" w:cs="Arial"/>
          <w:position w:val="2"/>
          <w:sz w:val="24"/>
          <w:szCs w:val="24"/>
        </w:rPr>
        <w:t>ATP  channel  to  cause  potassium  (K</w:t>
      </w:r>
      <w:r w:rsidRPr="00733F8F">
        <w:rPr>
          <w:rFonts w:ascii="Arial" w:eastAsia="Arial" w:hAnsi="Arial" w:cs="Arial"/>
          <w:w w:val="98"/>
          <w:position w:val="10"/>
          <w:sz w:val="24"/>
          <w:szCs w:val="24"/>
        </w:rPr>
        <w:t>+</w:t>
      </w:r>
      <w:r w:rsidRPr="00733F8F">
        <w:rPr>
          <w:rFonts w:ascii="Arial" w:eastAsia="Arial" w:hAnsi="Arial" w:cs="Arial"/>
          <w:position w:val="2"/>
          <w:sz w:val="24"/>
          <w:szCs w:val="24"/>
        </w:rPr>
        <w:t xml:space="preserve">)  efflux, </w:t>
      </w:r>
      <w:r w:rsidRPr="00733F8F">
        <w:rPr>
          <w:rFonts w:ascii="Arial" w:eastAsia="Arial" w:hAnsi="Arial" w:cs="Arial"/>
          <w:sz w:val="24"/>
          <w:szCs w:val="24"/>
        </w:rPr>
        <w:t xml:space="preserve">leading to NLRP3 activation and </w:t>
      </w:r>
      <w:proofErr w:type="spellStart"/>
      <w:r w:rsidRPr="00733F8F">
        <w:rPr>
          <w:rFonts w:ascii="Arial" w:eastAsia="Arial" w:hAnsi="Arial" w:cs="Arial"/>
          <w:sz w:val="24"/>
          <w:szCs w:val="24"/>
        </w:rPr>
        <w:t>oligmerisation</w:t>
      </w:r>
      <w:proofErr w:type="spellEnd"/>
      <w:r w:rsidRPr="00733F8F">
        <w:rPr>
          <w:rFonts w:ascii="Arial" w:eastAsia="Arial" w:hAnsi="Arial" w:cs="Arial"/>
          <w:sz w:val="24"/>
          <w:szCs w:val="24"/>
        </w:rPr>
        <w:t xml:space="preserve">. Following ASC </w:t>
      </w:r>
      <w:proofErr w:type="spellStart"/>
      <w:r w:rsidRPr="00733F8F">
        <w:rPr>
          <w:rFonts w:ascii="Arial" w:eastAsia="Arial" w:hAnsi="Arial" w:cs="Arial"/>
          <w:sz w:val="24"/>
          <w:szCs w:val="24"/>
        </w:rPr>
        <w:t>polymerisation</w:t>
      </w:r>
      <w:proofErr w:type="spellEnd"/>
      <w:r w:rsidRPr="00733F8F">
        <w:rPr>
          <w:rFonts w:ascii="Arial" w:eastAsia="Arial" w:hAnsi="Arial" w:cs="Arial"/>
          <w:sz w:val="24"/>
          <w:szCs w:val="24"/>
        </w:rPr>
        <w:t xml:space="preserve"> and  pro-caspase-1  recruitment,  the  </w:t>
      </w:r>
      <w:proofErr w:type="spellStart"/>
      <w:r w:rsidRPr="00733F8F">
        <w:rPr>
          <w:rFonts w:ascii="Arial" w:eastAsia="Arial" w:hAnsi="Arial" w:cs="Arial"/>
          <w:sz w:val="24"/>
          <w:szCs w:val="24"/>
        </w:rPr>
        <w:t>inflammasome</w:t>
      </w:r>
      <w:proofErr w:type="spellEnd"/>
      <w:r w:rsidRPr="00733F8F">
        <w:rPr>
          <w:rFonts w:ascii="Arial" w:eastAsia="Arial" w:hAnsi="Arial" w:cs="Arial"/>
          <w:sz w:val="24"/>
          <w:szCs w:val="24"/>
        </w:rPr>
        <w:t xml:space="preserve">  complex  is  assembled. Cleavage of pro-caspase-1 into </w:t>
      </w:r>
      <w:proofErr w:type="spellStart"/>
      <w:r w:rsidRPr="00733F8F">
        <w:rPr>
          <w:rFonts w:ascii="Arial" w:eastAsia="Arial" w:hAnsi="Arial" w:cs="Arial"/>
          <w:sz w:val="24"/>
          <w:szCs w:val="24"/>
        </w:rPr>
        <w:t>caspase</w:t>
      </w:r>
      <w:proofErr w:type="spellEnd"/>
      <w:r w:rsidRPr="00733F8F">
        <w:rPr>
          <w:rFonts w:ascii="Arial" w:eastAsia="Arial" w:hAnsi="Arial" w:cs="Arial"/>
          <w:sz w:val="24"/>
          <w:szCs w:val="24"/>
        </w:rPr>
        <w:t xml:space="preserve"> enables cleavage of pro- IL-1β and </w:t>
      </w:r>
      <w:r w:rsidRPr="00733F8F">
        <w:rPr>
          <w:rFonts w:ascii="Arial" w:eastAsia="Arial" w:hAnsi="Arial" w:cs="Arial"/>
          <w:sz w:val="24"/>
          <w:szCs w:val="24"/>
        </w:rPr>
        <w:lastRenderedPageBreak/>
        <w:t xml:space="preserve">pro- IL-18  into  IL-1β  and  IL-18  and  GSMD  </w:t>
      </w:r>
      <w:proofErr w:type="spellStart"/>
      <w:r w:rsidRPr="00733F8F">
        <w:rPr>
          <w:rFonts w:ascii="Arial" w:eastAsia="Arial" w:hAnsi="Arial" w:cs="Arial"/>
          <w:sz w:val="24"/>
          <w:szCs w:val="24"/>
        </w:rPr>
        <w:t>oligmerisation</w:t>
      </w:r>
      <w:proofErr w:type="spellEnd"/>
      <w:r w:rsidRPr="00733F8F">
        <w:rPr>
          <w:rFonts w:ascii="Arial" w:eastAsia="Arial" w:hAnsi="Arial" w:cs="Arial"/>
          <w:sz w:val="24"/>
          <w:szCs w:val="24"/>
        </w:rPr>
        <w:t xml:space="preserve">.  NLRP3-inflammasome </w:t>
      </w:r>
      <w:r w:rsidRPr="00733F8F">
        <w:rPr>
          <w:rFonts w:ascii="Arial" w:eastAsia="Arial" w:hAnsi="Arial" w:cs="Arial"/>
          <w:position w:val="2"/>
          <w:sz w:val="24"/>
          <w:szCs w:val="24"/>
        </w:rPr>
        <w:t>assembly has two consequences (1) IL-1β and IL-18 exits the cell through P</w:t>
      </w:r>
      <w:r w:rsidRPr="00733F8F">
        <w:rPr>
          <w:rFonts w:ascii="Arial" w:eastAsia="Arial" w:hAnsi="Arial" w:cs="Arial"/>
          <w:w w:val="99"/>
          <w:sz w:val="24"/>
          <w:szCs w:val="24"/>
        </w:rPr>
        <w:t>2</w:t>
      </w:r>
      <w:r w:rsidRPr="00733F8F">
        <w:rPr>
          <w:rFonts w:ascii="Arial" w:eastAsia="Arial" w:hAnsi="Arial" w:cs="Arial"/>
          <w:position w:val="2"/>
          <w:sz w:val="24"/>
          <w:szCs w:val="24"/>
        </w:rPr>
        <w:t>X</w:t>
      </w:r>
      <w:r w:rsidRPr="00733F8F">
        <w:rPr>
          <w:rFonts w:ascii="Arial" w:eastAsia="Arial" w:hAnsi="Arial" w:cs="Arial"/>
          <w:w w:val="99"/>
          <w:sz w:val="24"/>
          <w:szCs w:val="24"/>
        </w:rPr>
        <w:t>7</w:t>
      </w:r>
      <w:r w:rsidRPr="00733F8F">
        <w:rPr>
          <w:rFonts w:ascii="Arial" w:eastAsia="Arial" w:hAnsi="Arial" w:cs="Arial"/>
          <w:position w:val="2"/>
          <w:sz w:val="24"/>
          <w:szCs w:val="24"/>
        </w:rPr>
        <w:t xml:space="preserve">; </w:t>
      </w:r>
      <w:r w:rsidRPr="00733F8F">
        <w:rPr>
          <w:rFonts w:ascii="Arial" w:eastAsia="Arial" w:hAnsi="Arial" w:cs="Arial"/>
          <w:sz w:val="24"/>
          <w:szCs w:val="24"/>
        </w:rPr>
        <w:t xml:space="preserve">IL-1β </w:t>
      </w:r>
      <w:proofErr w:type="spellStart"/>
      <w:r w:rsidRPr="00733F8F">
        <w:rPr>
          <w:rFonts w:ascii="Arial" w:eastAsia="Arial" w:hAnsi="Arial" w:cs="Arial"/>
          <w:sz w:val="24"/>
          <w:szCs w:val="24"/>
        </w:rPr>
        <w:t>autocrine</w:t>
      </w:r>
      <w:proofErr w:type="spellEnd"/>
      <w:r w:rsidRPr="00733F8F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733F8F">
        <w:rPr>
          <w:rFonts w:ascii="Arial" w:eastAsia="Arial" w:hAnsi="Arial" w:cs="Arial"/>
          <w:sz w:val="24"/>
          <w:szCs w:val="24"/>
        </w:rPr>
        <w:t>signalling</w:t>
      </w:r>
      <w:proofErr w:type="spellEnd"/>
      <w:r w:rsidRPr="00733F8F">
        <w:rPr>
          <w:rFonts w:ascii="Arial" w:eastAsia="Arial" w:hAnsi="Arial" w:cs="Arial"/>
          <w:sz w:val="24"/>
          <w:szCs w:val="24"/>
        </w:rPr>
        <w:t xml:space="preserve"> is mediated by interleukin-1 receptor (IL-1R) (2) GSMD </w:t>
      </w:r>
      <w:proofErr w:type="spellStart"/>
      <w:r w:rsidRPr="00733F8F">
        <w:rPr>
          <w:rFonts w:ascii="Arial" w:eastAsia="Arial" w:hAnsi="Arial" w:cs="Arial"/>
          <w:sz w:val="24"/>
          <w:szCs w:val="24"/>
        </w:rPr>
        <w:t>oligmerisation</w:t>
      </w:r>
      <w:proofErr w:type="spellEnd"/>
      <w:r w:rsidRPr="00733F8F">
        <w:rPr>
          <w:rFonts w:ascii="Arial" w:eastAsia="Arial" w:hAnsi="Arial" w:cs="Arial"/>
          <w:sz w:val="24"/>
          <w:szCs w:val="24"/>
        </w:rPr>
        <w:t xml:space="preserve">  enables  pore  formation  in  the  plasma  membrane,  thought  to</w:t>
      </w:r>
    </w:p>
    <w:p w:rsidR="00B50B34" w:rsidRPr="00733F8F" w:rsidRDefault="00B50B34" w:rsidP="00B50B34">
      <w:pPr>
        <w:spacing w:before="9" w:line="480" w:lineRule="auto"/>
        <w:ind w:left="389" w:right="3803"/>
        <w:jc w:val="both"/>
        <w:rPr>
          <w:rFonts w:ascii="Arial" w:eastAsia="Arial" w:hAnsi="Arial" w:cs="Arial"/>
          <w:sz w:val="24"/>
          <w:szCs w:val="24"/>
        </w:rPr>
      </w:pPr>
      <w:r w:rsidRPr="00733F8F">
        <w:rPr>
          <w:rFonts w:ascii="Arial" w:eastAsia="Arial" w:hAnsi="Arial" w:cs="Arial"/>
          <w:position w:val="-1"/>
          <w:sz w:val="24"/>
          <w:szCs w:val="24"/>
        </w:rPr>
        <w:t xml:space="preserve">mediate </w:t>
      </w:r>
      <w:proofErr w:type="spellStart"/>
      <w:r w:rsidRPr="00733F8F">
        <w:rPr>
          <w:rFonts w:ascii="Arial" w:eastAsia="Arial" w:hAnsi="Arial" w:cs="Arial"/>
          <w:position w:val="-1"/>
          <w:sz w:val="24"/>
          <w:szCs w:val="24"/>
        </w:rPr>
        <w:t>pyroptosis</w:t>
      </w:r>
      <w:proofErr w:type="spellEnd"/>
      <w:r w:rsidRPr="00733F8F">
        <w:rPr>
          <w:rFonts w:ascii="Arial" w:eastAsia="Arial" w:hAnsi="Arial" w:cs="Arial"/>
          <w:position w:val="-1"/>
          <w:sz w:val="24"/>
          <w:szCs w:val="24"/>
        </w:rPr>
        <w:t>. Adapted from [33] and [34].</w:t>
      </w:r>
    </w:p>
    <w:p w:rsidR="009373DC" w:rsidRDefault="009373DC"/>
    <w:sectPr w:rsidR="009373DC" w:rsidSect="00EB136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/>
  <w:defaultTabStop w:val="720"/>
  <w:characterSpacingControl w:val="doNotCompress"/>
  <w:compat/>
  <w:rsids>
    <w:rsidRoot w:val="00B50B34"/>
    <w:rsid w:val="005B2311"/>
    <w:rsid w:val="005F7D03"/>
    <w:rsid w:val="008B0C48"/>
    <w:rsid w:val="008F5F66"/>
    <w:rsid w:val="009373DC"/>
    <w:rsid w:val="00AC567C"/>
    <w:rsid w:val="00AE20A7"/>
    <w:rsid w:val="00B26B76"/>
    <w:rsid w:val="00B50B34"/>
    <w:rsid w:val="00B64663"/>
    <w:rsid w:val="00CF0F5F"/>
    <w:rsid w:val="00D917F2"/>
    <w:rsid w:val="00EB1369"/>
    <w:rsid w:val="00F32C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0B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50B3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0B34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202</Words>
  <Characters>1154</Characters>
  <Application>Microsoft Office Word</Application>
  <DocSecurity>0</DocSecurity>
  <Lines>9</Lines>
  <Paragraphs>2</Paragraphs>
  <ScaleCrop>false</ScaleCrop>
  <Company>South Thames College</Company>
  <LinksUpToDate>false</LinksUpToDate>
  <CharactersWithSpaces>1354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%username%</dc:creator>
  <cp:lastModifiedBy>%username%</cp:lastModifiedBy>
  <cp:revision>1</cp:revision>
  <dcterms:created xsi:type="dcterms:W3CDTF">2020-04-25T20:30:00Z</dcterms:created>
  <dcterms:modified xsi:type="dcterms:W3CDTF">2020-04-25T20:32:00Z</dcterms:modified>
</cp:coreProperties>
</file>