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Y="1193"/>
        <w:tblW w:w="13892" w:type="dxa"/>
        <w:tblLook w:val="04A0"/>
      </w:tblPr>
      <w:tblGrid>
        <w:gridCol w:w="1284"/>
        <w:gridCol w:w="2672"/>
        <w:gridCol w:w="5042"/>
        <w:gridCol w:w="4894"/>
      </w:tblGrid>
      <w:tr w:rsidR="00DE065B" w:rsidRPr="00642941" w:rsidTr="00034DAD">
        <w:tc>
          <w:tcPr>
            <w:tcW w:w="1284" w:type="dxa"/>
          </w:tcPr>
          <w:p w:rsidR="00DE065B" w:rsidRPr="00642941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2941">
              <w:rPr>
                <w:rFonts w:ascii="Arial" w:hAnsi="Arial" w:cs="Arial"/>
                <w:b/>
                <w:sz w:val="24"/>
                <w:szCs w:val="24"/>
              </w:rPr>
              <w:t>Therapy</w:t>
            </w:r>
          </w:p>
        </w:tc>
        <w:tc>
          <w:tcPr>
            <w:tcW w:w="2672" w:type="dxa"/>
          </w:tcPr>
          <w:p w:rsidR="00DE065B" w:rsidRPr="00642941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2941">
              <w:rPr>
                <w:rFonts w:ascii="Arial" w:hAnsi="Arial" w:cs="Arial"/>
                <w:b/>
                <w:sz w:val="24"/>
                <w:szCs w:val="24"/>
              </w:rPr>
              <w:t>Type &amp; Size of Study</w:t>
            </w:r>
          </w:p>
        </w:tc>
        <w:tc>
          <w:tcPr>
            <w:tcW w:w="5042" w:type="dxa"/>
          </w:tcPr>
          <w:p w:rsidR="00DE065B" w:rsidRPr="00642941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2941">
              <w:rPr>
                <w:rFonts w:ascii="Arial" w:hAnsi="Arial" w:cs="Arial"/>
                <w:b/>
                <w:sz w:val="24"/>
                <w:szCs w:val="24"/>
              </w:rPr>
              <w:t>Duration &amp; Mode of Administration</w:t>
            </w:r>
          </w:p>
        </w:tc>
        <w:tc>
          <w:tcPr>
            <w:tcW w:w="4894" w:type="dxa"/>
          </w:tcPr>
          <w:p w:rsidR="00DE065B" w:rsidRPr="00642941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2941">
              <w:rPr>
                <w:rFonts w:ascii="Arial" w:hAnsi="Arial" w:cs="Arial"/>
                <w:b/>
                <w:sz w:val="24"/>
                <w:szCs w:val="24"/>
              </w:rPr>
              <w:t>Key Findings</w:t>
            </w:r>
          </w:p>
        </w:tc>
      </w:tr>
      <w:tr w:rsidR="00DE065B" w:rsidRPr="00ED3BEE" w:rsidTr="00034DAD">
        <w:tc>
          <w:tcPr>
            <w:tcW w:w="1284" w:type="dxa"/>
          </w:tcPr>
          <w:p w:rsidR="00DE065B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16673-34-0</w:t>
            </w: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Gyburide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analogue)</w:t>
            </w:r>
          </w:p>
        </w:tc>
        <w:tc>
          <w:tcPr>
            <w:tcW w:w="2672" w:type="dxa"/>
          </w:tcPr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preliminary study which used a small animal myocardial infarction model. 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3 groups of mice </w:t>
            </w: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 = 4-5 mice per group</w:t>
            </w:r>
          </w:p>
        </w:tc>
        <w:tc>
          <w:tcPr>
            <w:tcW w:w="5042" w:type="dxa"/>
          </w:tcPr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 Vitro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Adult murine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cardiomyocytes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administered with 16673-34-0 (400μM) or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glyburide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(400μM) following LPS priming stage (2 hours). This was followed by ATP treatment (1 hour). 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 Vivo</w:t>
            </w: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Each group was given 16673-34-0,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dimethyl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sulfoxide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sodium (vehicle) or sodium chloride solution (control) 30minutes prior to LCA ligation. Treatment repeated at re-perfusion and at every 6 hours for 3 additional doses. </w:t>
            </w:r>
          </w:p>
        </w:tc>
        <w:tc>
          <w:tcPr>
            <w:tcW w:w="4894" w:type="dxa"/>
          </w:tcPr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 Vitro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16673-34-0 limits caspase-1 activity and inflammatory cell death in adult murine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cardiomyocytes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 Vivo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Following 16673-34-0 administration: </w:t>
            </w:r>
          </w:p>
          <w:p w:rsidR="00DE065B" w:rsidRPr="00ED3BEE" w:rsidRDefault="00DE065B" w:rsidP="00034DA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ED3BEE">
              <w:rPr>
                <w:rFonts w:ascii="Arial" w:hAnsi="Arial" w:cs="Arial"/>
                <w:sz w:val="24"/>
                <w:szCs w:val="24"/>
              </w:rPr>
              <w:t>90% reduction in caspase-1 activity measured 24h following ligation;</w:t>
            </w:r>
          </w:p>
          <w:p w:rsidR="00DE065B" w:rsidRDefault="00DE065B" w:rsidP="00034DA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40% reduction in infarct size (TTC)</w:t>
            </w:r>
          </w:p>
          <w:p w:rsidR="00DE065B" w:rsidRDefault="00DE065B" w:rsidP="00034DA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70% reduction of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Troponin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I compared to vehicle group</w:t>
            </w: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*100% mortality in mice after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glyburide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treatment*</w:t>
            </w:r>
            <w:r w:rsidRPr="00ED3BE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DE065B" w:rsidRPr="00ED3BEE" w:rsidTr="00034DAD">
        <w:tc>
          <w:tcPr>
            <w:tcW w:w="1284" w:type="dxa"/>
          </w:tcPr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D3BEE">
              <w:rPr>
                <w:rFonts w:ascii="Arial" w:hAnsi="Arial" w:cs="Arial"/>
                <w:b/>
                <w:sz w:val="24"/>
                <w:szCs w:val="24"/>
              </w:rPr>
              <w:t>MCC950</w:t>
            </w: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(Small Molecule Inhibitor)</w:t>
            </w:r>
          </w:p>
        </w:tc>
        <w:tc>
          <w:tcPr>
            <w:tcW w:w="2672" w:type="dxa"/>
          </w:tcPr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randomised, blinded study which used a large animal myocardial infarction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model. 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 = 30 female pigs</w:t>
            </w:r>
          </w:p>
        </w:tc>
        <w:tc>
          <w:tcPr>
            <w:tcW w:w="5042" w:type="dxa"/>
          </w:tcPr>
          <w:p w:rsidR="00DE065B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In Vitro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Porcine peripheral blood mononuclear cells stimulated with 10μg/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LPS. After 1 hour, 5mM ATP and different concentrations of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MCC950 added: 0, 0.3, 75, 450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μM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 Vivo</w:t>
            </w:r>
          </w:p>
          <w:p w:rsidR="00DE065B" w:rsidRPr="00ED3BEE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Closed-chest LAD coronary artery balloon occlusion carried out in pigs for 75 minutes, followed by 7 days of reperfusion. 15 minutes before re-perfusion, pigs randomly assigned to high dose MCC950 (6 mg/kg), low dose (3 mg/kg) or PBS alone. On balloon deflation, additional dose of 6 mg, 3 mg or PBS alone selectively injected into LAD. IV infusion repeated daily on days 1 – 6 </w:t>
            </w:r>
          </w:p>
        </w:tc>
        <w:tc>
          <w:tcPr>
            <w:tcW w:w="4894" w:type="dxa"/>
          </w:tcPr>
          <w:p w:rsidR="00DE065B" w:rsidRPr="00642941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2941">
              <w:rPr>
                <w:rFonts w:ascii="Arial" w:hAnsi="Arial" w:cs="Arial"/>
                <w:b/>
                <w:sz w:val="24"/>
                <w:szCs w:val="24"/>
              </w:rPr>
              <w:lastRenderedPageBreak/>
              <w:t>In Vitro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Dose-dependent Effects: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Decrease following 0.3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μM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MCC850 (P = 0.002 compared with control) but significant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decrease noted with 450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μM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(P &lt; 0.001 compared with control).</w:t>
            </w:r>
          </w:p>
          <w:p w:rsidR="00DE065B" w:rsidRPr="00642941" w:rsidRDefault="00DE065B" w:rsidP="00034DAD">
            <w:pPr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2941">
              <w:rPr>
                <w:rFonts w:ascii="Arial" w:hAnsi="Arial" w:cs="Arial"/>
                <w:b/>
                <w:sz w:val="24"/>
                <w:szCs w:val="24"/>
              </w:rPr>
              <w:t>In Vivo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Infarct size:</w:t>
            </w:r>
          </w:p>
          <w:p w:rsidR="00DE065B" w:rsidRDefault="00DE065B" w:rsidP="00034DAD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459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AAR/LV % similar all three groups </w:t>
            </w:r>
          </w:p>
          <w:p w:rsidR="00DE065B" w:rsidRDefault="00DE065B" w:rsidP="00034DAD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459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IS/LV % higher in control compared to high-dose group, but not to low-dose group</w:t>
            </w:r>
          </w:p>
          <w:p w:rsidR="00DE065B" w:rsidRDefault="00DE065B" w:rsidP="00034DAD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459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IS/AAR % higher in control group compared with both high-dose and low-dose groups</w:t>
            </w:r>
          </w:p>
          <w:p w:rsidR="00DE065B" w:rsidRDefault="00DE065B" w:rsidP="00034DA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Global Cardiac Function (</w:t>
            </w:r>
            <w:r w:rsidRPr="00642941">
              <w:rPr>
                <w:rFonts w:ascii="Arial" w:hAnsi="Arial" w:cs="Arial"/>
                <w:i/>
                <w:sz w:val="24"/>
                <w:szCs w:val="24"/>
              </w:rPr>
              <w:t>at 7 days follow-up</w:t>
            </w:r>
            <w:r>
              <w:rPr>
                <w:rFonts w:ascii="Arial" w:hAnsi="Arial" w:cs="Arial"/>
                <w:sz w:val="24"/>
                <w:szCs w:val="24"/>
              </w:rPr>
              <w:t>):</w:t>
            </w:r>
          </w:p>
          <w:p w:rsidR="00DE065B" w:rsidRDefault="00DE065B" w:rsidP="00034DAD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End-systolic volume significantly lower in high –dose groups</w:t>
            </w:r>
          </w:p>
          <w:p w:rsidR="00DE065B" w:rsidRPr="00642941" w:rsidRDefault="00DE065B" w:rsidP="00034DAD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Left ventricular ejection fraction higher in both high-dose and low-dose groups</w:t>
            </w:r>
          </w:p>
        </w:tc>
      </w:tr>
    </w:tbl>
    <w:p w:rsidR="00DE065B" w:rsidRDefault="00DE065B" w:rsidP="00ED3BEE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ED3BEE">
        <w:rPr>
          <w:rFonts w:ascii="Arial" w:hAnsi="Arial" w:cs="Arial"/>
          <w:b/>
          <w:sz w:val="24"/>
          <w:szCs w:val="24"/>
        </w:rPr>
        <w:lastRenderedPageBreak/>
        <w:t xml:space="preserve"> </w:t>
      </w:r>
    </w:p>
    <w:p w:rsidR="00ED3BEE" w:rsidRDefault="00ED3BEE" w:rsidP="00ED3BEE">
      <w:pPr>
        <w:spacing w:line="480" w:lineRule="auto"/>
        <w:rPr>
          <w:rFonts w:ascii="Arial" w:hAnsi="Arial" w:cs="Arial"/>
          <w:sz w:val="24"/>
          <w:szCs w:val="24"/>
        </w:rPr>
      </w:pPr>
      <w:r w:rsidRPr="00ED3BEE">
        <w:rPr>
          <w:rFonts w:ascii="Arial" w:hAnsi="Arial" w:cs="Arial"/>
          <w:b/>
          <w:sz w:val="24"/>
          <w:szCs w:val="24"/>
        </w:rPr>
        <w:lastRenderedPageBreak/>
        <w:t>Table 1</w:t>
      </w:r>
      <w:r>
        <w:rPr>
          <w:rFonts w:ascii="Arial" w:hAnsi="Arial" w:cs="Arial"/>
          <w:sz w:val="24"/>
          <w:szCs w:val="24"/>
        </w:rPr>
        <w:t xml:space="preserve">. Summary of animal myocardial infarction models investigating the therapeutic potential of NLRP3 </w:t>
      </w:r>
      <w:proofErr w:type="spellStart"/>
      <w:r>
        <w:rPr>
          <w:rFonts w:ascii="Arial" w:hAnsi="Arial" w:cs="Arial"/>
          <w:sz w:val="24"/>
          <w:szCs w:val="24"/>
        </w:rPr>
        <w:t>inflammasome</w:t>
      </w:r>
      <w:proofErr w:type="spellEnd"/>
      <w:r>
        <w:rPr>
          <w:rFonts w:ascii="Arial" w:hAnsi="Arial" w:cs="Arial"/>
          <w:sz w:val="24"/>
          <w:szCs w:val="24"/>
        </w:rPr>
        <w:t xml:space="preserve"> inhibition. </w:t>
      </w:r>
    </w:p>
    <w:p w:rsidR="00ED3BEE" w:rsidRPr="00ED3BEE" w:rsidRDefault="00ED3BEE" w:rsidP="00ED3BEE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Results taken from [49] and [61]</w:t>
      </w:r>
    </w:p>
    <w:p w:rsidR="00642941" w:rsidRPr="00ED3BEE" w:rsidRDefault="00642941">
      <w:pPr>
        <w:spacing w:line="480" w:lineRule="auto"/>
        <w:rPr>
          <w:rFonts w:ascii="Arial" w:hAnsi="Arial" w:cs="Arial"/>
          <w:sz w:val="24"/>
          <w:szCs w:val="24"/>
        </w:rPr>
      </w:pPr>
    </w:p>
    <w:sectPr w:rsidR="00642941" w:rsidRPr="00ED3BEE" w:rsidSect="00ED3BEE">
      <w:pgSz w:w="16838" w:h="11906" w:orient="landscape"/>
      <w:pgMar w:top="1440" w:right="1440" w:bottom="156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D0FFF"/>
    <w:multiLevelType w:val="hybridMultilevel"/>
    <w:tmpl w:val="D08C117C"/>
    <w:lvl w:ilvl="0" w:tplc="FAD0B7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B41DEF"/>
    <w:multiLevelType w:val="hybridMultilevel"/>
    <w:tmpl w:val="87763BF2"/>
    <w:lvl w:ilvl="0" w:tplc="52B6A9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5B420E"/>
    <w:multiLevelType w:val="hybridMultilevel"/>
    <w:tmpl w:val="3216DD46"/>
    <w:lvl w:ilvl="0" w:tplc="D80CC1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/>
  <w:defaultTabStop w:val="720"/>
  <w:drawingGridHorizontalSpacing w:val="110"/>
  <w:displayHorizontalDrawingGridEvery w:val="2"/>
  <w:characterSpacingControl w:val="doNotCompress"/>
  <w:compat/>
  <w:rsids>
    <w:rsidRoot w:val="00ED3BEE"/>
    <w:rsid w:val="00101905"/>
    <w:rsid w:val="005B2311"/>
    <w:rsid w:val="005F7D03"/>
    <w:rsid w:val="00642941"/>
    <w:rsid w:val="00724060"/>
    <w:rsid w:val="008B0C48"/>
    <w:rsid w:val="008F5F66"/>
    <w:rsid w:val="009373DC"/>
    <w:rsid w:val="00AC567C"/>
    <w:rsid w:val="00AE20A7"/>
    <w:rsid w:val="00B26B76"/>
    <w:rsid w:val="00B64663"/>
    <w:rsid w:val="00CF0F5F"/>
    <w:rsid w:val="00D917F2"/>
    <w:rsid w:val="00DE065B"/>
    <w:rsid w:val="00DF470C"/>
    <w:rsid w:val="00E1759C"/>
    <w:rsid w:val="00EB1369"/>
    <w:rsid w:val="00ED3BEE"/>
    <w:rsid w:val="00F32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13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D3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ED3B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Thames College</Company>
  <LinksUpToDate>false</LinksUpToDate>
  <CharactersWithSpaces>2449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%username%</dc:creator>
  <cp:lastModifiedBy>%username%</cp:lastModifiedBy>
  <cp:revision>4</cp:revision>
  <dcterms:created xsi:type="dcterms:W3CDTF">2020-04-25T20:39:00Z</dcterms:created>
  <dcterms:modified xsi:type="dcterms:W3CDTF">2020-04-27T01:25:00Z</dcterms:modified>
</cp:coreProperties>
</file>