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AF5F15" w14:textId="1BAE7640" w:rsidR="00844B7C" w:rsidRPr="001430D0" w:rsidRDefault="00844B7C" w:rsidP="00EF76EA">
      <w:pPr>
        <w:jc w:val="center"/>
        <w:rPr>
          <w:rFonts w:cs="Arial"/>
          <w:b/>
          <w:color w:val="7030A0"/>
          <w:sz w:val="36"/>
          <w:szCs w:val="28"/>
        </w:rPr>
      </w:pPr>
      <w:r w:rsidRPr="001430D0">
        <w:rPr>
          <w:rFonts w:cs="Arial"/>
          <w:b/>
          <w:color w:val="7030A0"/>
          <w:sz w:val="36"/>
          <w:szCs w:val="28"/>
        </w:rPr>
        <w:t>MMJ Journal Club Session 1: 07/09/2020</w:t>
      </w:r>
    </w:p>
    <w:p w14:paraId="3A0EE775" w14:textId="77777777" w:rsidR="00844B7C" w:rsidRPr="00844B7C" w:rsidRDefault="00844B7C" w:rsidP="00EF76EA">
      <w:pPr>
        <w:jc w:val="center"/>
        <w:rPr>
          <w:rFonts w:cs="Arial"/>
          <w:b/>
          <w:sz w:val="32"/>
        </w:rPr>
      </w:pPr>
    </w:p>
    <w:p w14:paraId="7E236B46" w14:textId="472EDBB4" w:rsidR="00844B7C" w:rsidRPr="001430D0" w:rsidRDefault="00D25CBA" w:rsidP="00EF76EA">
      <w:pPr>
        <w:jc w:val="center"/>
        <w:rPr>
          <w:rFonts w:cs="Arial"/>
          <w:b/>
          <w:sz w:val="28"/>
          <w:szCs w:val="22"/>
        </w:rPr>
      </w:pPr>
      <w:r w:rsidRPr="001430D0">
        <w:rPr>
          <w:rFonts w:cs="Arial"/>
          <w:b/>
          <w:sz w:val="28"/>
          <w:szCs w:val="22"/>
        </w:rPr>
        <w:t>Analysis: Two metres or one: what is the evidence for physical distancing in</w:t>
      </w:r>
      <w:r w:rsidR="00EF76EA" w:rsidRPr="001430D0">
        <w:rPr>
          <w:rFonts w:cs="Arial"/>
          <w:b/>
          <w:sz w:val="28"/>
          <w:szCs w:val="22"/>
        </w:rPr>
        <w:t xml:space="preserve"> the C</w:t>
      </w:r>
      <w:r w:rsidRPr="001430D0">
        <w:rPr>
          <w:rFonts w:cs="Arial"/>
          <w:b/>
          <w:sz w:val="28"/>
          <w:szCs w:val="22"/>
        </w:rPr>
        <w:t>ovid-19</w:t>
      </w:r>
      <w:r w:rsidR="00EF76EA" w:rsidRPr="001430D0">
        <w:rPr>
          <w:rFonts w:cs="Arial"/>
          <w:b/>
          <w:sz w:val="28"/>
          <w:szCs w:val="22"/>
        </w:rPr>
        <w:t xml:space="preserve"> Pandemic</w:t>
      </w:r>
      <w:r w:rsidRPr="001430D0">
        <w:rPr>
          <w:rFonts w:cs="Arial"/>
          <w:b/>
          <w:sz w:val="28"/>
          <w:szCs w:val="22"/>
        </w:rPr>
        <w:t>?</w:t>
      </w:r>
      <w:r w:rsidR="00EF76EA" w:rsidRPr="001430D0">
        <w:rPr>
          <w:rFonts w:cs="Arial"/>
          <w:b/>
          <w:sz w:val="28"/>
          <w:szCs w:val="22"/>
        </w:rPr>
        <w:t xml:space="preserve"> </w:t>
      </w:r>
    </w:p>
    <w:p w14:paraId="58D188D2" w14:textId="7334AF1D" w:rsidR="001C7FAD" w:rsidRPr="003F5C83" w:rsidRDefault="00844B7C" w:rsidP="00EF76EA">
      <w:pPr>
        <w:jc w:val="center"/>
        <w:rPr>
          <w:rFonts w:cs="Arial"/>
          <w:szCs w:val="21"/>
        </w:rPr>
      </w:pPr>
      <w:r w:rsidRPr="00844B7C">
        <w:rPr>
          <w:rFonts w:cs="Arial"/>
          <w:szCs w:val="21"/>
          <w:lang w:val="fr-FR"/>
        </w:rPr>
        <w:t xml:space="preserve">N.R </w:t>
      </w:r>
      <w:r w:rsidR="00EF76EA" w:rsidRPr="00844B7C">
        <w:rPr>
          <w:rFonts w:cs="Arial"/>
          <w:szCs w:val="21"/>
          <w:lang w:val="fr-FR"/>
        </w:rPr>
        <w:t>Jones</w:t>
      </w:r>
      <w:r w:rsidRPr="00844B7C">
        <w:rPr>
          <w:rFonts w:cs="Arial"/>
          <w:szCs w:val="21"/>
          <w:lang w:val="fr-FR"/>
        </w:rPr>
        <w:t xml:space="preserve">, Z. U. Qureshi, R.J. Temple </w:t>
      </w:r>
      <w:r w:rsidRPr="00844B7C">
        <w:rPr>
          <w:rFonts w:cs="Arial"/>
          <w:i/>
          <w:iCs/>
          <w:szCs w:val="21"/>
          <w:lang w:val="fr-FR"/>
        </w:rPr>
        <w:t>et al</w:t>
      </w:r>
      <w:r w:rsidRPr="00844B7C">
        <w:rPr>
          <w:rFonts w:cs="Arial"/>
          <w:szCs w:val="21"/>
          <w:lang w:val="fr-FR"/>
        </w:rPr>
        <w:t xml:space="preserve">. </w:t>
      </w:r>
      <w:r w:rsidRPr="003F5C83">
        <w:rPr>
          <w:rFonts w:cs="Arial"/>
          <w:szCs w:val="21"/>
        </w:rPr>
        <w:t>BMJ (</w:t>
      </w:r>
      <w:r w:rsidRPr="003F5C83">
        <w:rPr>
          <w:rFonts w:cs="Arial"/>
          <w:szCs w:val="21"/>
        </w:rPr>
        <w:t>2020</w:t>
      </w:r>
      <w:r w:rsidRPr="003F5C83">
        <w:rPr>
          <w:rFonts w:cs="Arial"/>
          <w:szCs w:val="21"/>
        </w:rPr>
        <w:t xml:space="preserve">) </w:t>
      </w:r>
      <w:r w:rsidRPr="003F5C83">
        <w:rPr>
          <w:rFonts w:cs="Arial"/>
          <w:szCs w:val="21"/>
        </w:rPr>
        <w:t>;370:</w:t>
      </w:r>
      <w:r w:rsidRPr="003F5C83">
        <w:rPr>
          <w:rFonts w:cs="Arial"/>
          <w:szCs w:val="21"/>
        </w:rPr>
        <w:t xml:space="preserve"> </w:t>
      </w:r>
      <w:r w:rsidRPr="003F5C83">
        <w:rPr>
          <w:rFonts w:cs="Arial"/>
          <w:szCs w:val="21"/>
        </w:rPr>
        <w:t>m3223</w:t>
      </w:r>
    </w:p>
    <w:p w14:paraId="218A3A45" w14:textId="77777777" w:rsidR="00503816" w:rsidRPr="003F5C83" w:rsidRDefault="00503816" w:rsidP="00EF76EA">
      <w:pPr>
        <w:jc w:val="center"/>
        <w:rPr>
          <w:rFonts w:cs="Arial"/>
          <w:sz w:val="32"/>
        </w:rPr>
      </w:pPr>
    </w:p>
    <w:p w14:paraId="089D57EB" w14:textId="376BDF40" w:rsidR="00503816" w:rsidRPr="00844B7C" w:rsidRDefault="003F5C83" w:rsidP="00503816">
      <w:pPr>
        <w:ind w:firstLine="720"/>
        <w:jc w:val="center"/>
        <w:rPr>
          <w:rFonts w:cs="Arial"/>
          <w:b/>
        </w:rPr>
      </w:pPr>
      <w:r>
        <w:rPr>
          <w:rFonts w:cs="Arial"/>
          <w:b/>
        </w:rPr>
        <w:t xml:space="preserve">Analysis by: </w:t>
      </w:r>
      <w:r w:rsidR="00503816" w:rsidRPr="00844B7C">
        <w:rPr>
          <w:rFonts w:cs="Arial"/>
          <w:b/>
        </w:rPr>
        <w:t>Aysha M Nijamudeen</w:t>
      </w:r>
    </w:p>
    <w:p w14:paraId="37EB33BB" w14:textId="77777777" w:rsidR="00FD4DB7" w:rsidRPr="00844B7C" w:rsidRDefault="00FD4DB7" w:rsidP="00503816">
      <w:pPr>
        <w:rPr>
          <w:rFonts w:cs="Arial"/>
          <w:b/>
        </w:rPr>
      </w:pPr>
    </w:p>
    <w:p w14:paraId="5D84FF8B" w14:textId="524C57C7" w:rsidR="005C5431" w:rsidRPr="00844B7C" w:rsidRDefault="005C5431" w:rsidP="00844B7C">
      <w:pPr>
        <w:rPr>
          <w:rFonts w:cs="Arial"/>
          <w:b/>
          <w:color w:val="7030A0"/>
          <w:sz w:val="28"/>
          <w:szCs w:val="28"/>
        </w:rPr>
      </w:pPr>
      <w:r w:rsidRPr="00844B7C">
        <w:rPr>
          <w:rFonts w:cs="Arial"/>
          <w:b/>
          <w:color w:val="7030A0"/>
          <w:sz w:val="28"/>
          <w:szCs w:val="28"/>
        </w:rPr>
        <w:t>Background</w:t>
      </w:r>
    </w:p>
    <w:p w14:paraId="55D056CA" w14:textId="09767D03" w:rsidR="005C5431" w:rsidRPr="00844B7C" w:rsidRDefault="00240A8C" w:rsidP="005C5431">
      <w:pPr>
        <w:rPr>
          <w:rFonts w:cs="Arial"/>
        </w:rPr>
      </w:pPr>
      <w:r w:rsidRPr="00844B7C">
        <w:rPr>
          <w:rFonts w:cs="Arial"/>
        </w:rPr>
        <w:t xml:space="preserve">The </w:t>
      </w:r>
      <w:proofErr w:type="spellStart"/>
      <w:r w:rsidRPr="00844B7C">
        <w:rPr>
          <w:rFonts w:cs="Arial"/>
        </w:rPr>
        <w:t>Covid</w:t>
      </w:r>
      <w:proofErr w:type="spellEnd"/>
      <w:r w:rsidRPr="00844B7C">
        <w:rPr>
          <w:rFonts w:cs="Arial"/>
        </w:rPr>
        <w:t xml:space="preserve">- 19 pandemic </w:t>
      </w:r>
      <w:r w:rsidR="00D4602F" w:rsidRPr="00844B7C">
        <w:rPr>
          <w:rFonts w:cs="Arial"/>
        </w:rPr>
        <w:t xml:space="preserve">has lead to national lockdowns across multiple countries in an attempt to reduce the spread of the virus. However, as the world reopens, </w:t>
      </w:r>
      <w:r w:rsidR="00652426" w:rsidRPr="00844B7C">
        <w:rPr>
          <w:rFonts w:cs="Arial"/>
        </w:rPr>
        <w:t xml:space="preserve">it is important to understand the </w:t>
      </w:r>
      <w:r w:rsidR="00E87DCA" w:rsidRPr="00844B7C">
        <w:rPr>
          <w:rFonts w:cs="Arial"/>
        </w:rPr>
        <w:t>basis of recommenda</w:t>
      </w:r>
      <w:r w:rsidR="002C24B0" w:rsidRPr="00844B7C">
        <w:rPr>
          <w:rFonts w:cs="Arial"/>
        </w:rPr>
        <w:t>tions for social distancing in order to best protect our patients and ourselves. This weeks’ paper examines the evidence behind the recommendations for the 2</w:t>
      </w:r>
      <w:r w:rsidR="0029337A" w:rsidRPr="00844B7C">
        <w:rPr>
          <w:rFonts w:cs="Arial"/>
        </w:rPr>
        <w:t xml:space="preserve"> </w:t>
      </w:r>
      <w:r w:rsidR="002C24B0" w:rsidRPr="00844B7C">
        <w:rPr>
          <w:rFonts w:cs="Arial"/>
        </w:rPr>
        <w:t>m</w:t>
      </w:r>
      <w:r w:rsidR="0029337A" w:rsidRPr="00844B7C">
        <w:rPr>
          <w:rFonts w:cs="Arial"/>
        </w:rPr>
        <w:t>etre</w:t>
      </w:r>
      <w:r w:rsidR="002C24B0" w:rsidRPr="00844B7C">
        <w:rPr>
          <w:rFonts w:cs="Arial"/>
        </w:rPr>
        <w:t xml:space="preserve"> rule</w:t>
      </w:r>
      <w:r w:rsidR="00EF76EA" w:rsidRPr="00844B7C">
        <w:rPr>
          <w:rFonts w:cs="Arial"/>
        </w:rPr>
        <w:t xml:space="preserve"> in order to assess the adequacy, taking into account other factors such as environment, length of contact, face coverings and </w:t>
      </w:r>
      <w:r w:rsidR="007E000B" w:rsidRPr="00844B7C">
        <w:rPr>
          <w:rFonts w:cs="Arial"/>
        </w:rPr>
        <w:t xml:space="preserve">forces of emission. </w:t>
      </w:r>
      <w:r w:rsidR="0029337A" w:rsidRPr="00844B7C">
        <w:rPr>
          <w:rFonts w:cs="Arial"/>
        </w:rPr>
        <w:t>I chose this paper as it’s very topical, with many people returning to studying and work this month.</w:t>
      </w:r>
    </w:p>
    <w:p w14:paraId="797AB794" w14:textId="77777777" w:rsidR="00D25CBA" w:rsidRPr="00844B7C" w:rsidRDefault="00D25CBA" w:rsidP="00D25CBA">
      <w:pPr>
        <w:rPr>
          <w:rFonts w:cs="Arial"/>
          <w:b/>
        </w:rPr>
      </w:pPr>
    </w:p>
    <w:p w14:paraId="73E19A0E" w14:textId="77777777" w:rsidR="00D25CBA" w:rsidRPr="00844B7C" w:rsidRDefault="00D25CBA" w:rsidP="00844B7C">
      <w:pPr>
        <w:rPr>
          <w:rFonts w:cs="Arial"/>
          <w:b/>
          <w:color w:val="7030A0"/>
          <w:sz w:val="28"/>
          <w:szCs w:val="28"/>
        </w:rPr>
      </w:pPr>
      <w:r w:rsidRPr="00844B7C">
        <w:rPr>
          <w:rFonts w:cs="Arial"/>
          <w:b/>
          <w:color w:val="7030A0"/>
          <w:sz w:val="28"/>
          <w:szCs w:val="28"/>
        </w:rPr>
        <w:t>Population/Problem</w:t>
      </w:r>
    </w:p>
    <w:p w14:paraId="30DFFD81" w14:textId="77777777" w:rsidR="00D25CBA" w:rsidRPr="00844B7C" w:rsidRDefault="00D25CBA" w:rsidP="00D25CBA">
      <w:pPr>
        <w:rPr>
          <w:rFonts w:cs="Arial"/>
        </w:rPr>
      </w:pPr>
      <w:r w:rsidRPr="00844B7C">
        <w:rPr>
          <w:rFonts w:cs="Arial"/>
        </w:rPr>
        <w:t xml:space="preserve">This paper addresses the issue of the physical distance recommendations for social distancing in light of the </w:t>
      </w:r>
      <w:proofErr w:type="spellStart"/>
      <w:r w:rsidRPr="00844B7C">
        <w:rPr>
          <w:rFonts w:cs="Arial"/>
        </w:rPr>
        <w:t>Covid</w:t>
      </w:r>
      <w:proofErr w:type="spellEnd"/>
      <w:r w:rsidRPr="00844B7C">
        <w:rPr>
          <w:rFonts w:cs="Arial"/>
        </w:rPr>
        <w:t>- 19 pandemic. Evidence for distances of 1m, 2m or more has been analysed in order to assess if the recommendations by SAGE and the WHO are adequate in various settings. This is a systematic review, and so our population here is technically the evidence that has been reviewed. This consists of some RCTs, other systematic reviews, observational studies and case cohort studies. The quality of evidence is variable, and so it is important limitations of these are stated (discussed later)</w:t>
      </w:r>
    </w:p>
    <w:p w14:paraId="1C0CFF6E" w14:textId="77777777" w:rsidR="00D25CBA" w:rsidRPr="00844B7C" w:rsidRDefault="00D25CBA" w:rsidP="00D25CBA">
      <w:pPr>
        <w:rPr>
          <w:rFonts w:cs="Arial"/>
        </w:rPr>
      </w:pPr>
    </w:p>
    <w:p w14:paraId="39AFCFF7" w14:textId="1E71080A" w:rsidR="00D25CBA" w:rsidRPr="00844B7C" w:rsidRDefault="00D25CBA" w:rsidP="00844B7C">
      <w:pPr>
        <w:rPr>
          <w:rFonts w:cs="Arial"/>
          <w:b/>
          <w:color w:val="7030A0"/>
          <w:sz w:val="28"/>
          <w:szCs w:val="28"/>
        </w:rPr>
      </w:pPr>
      <w:r w:rsidRPr="00844B7C">
        <w:rPr>
          <w:rFonts w:cs="Arial"/>
          <w:b/>
          <w:color w:val="7030A0"/>
          <w:sz w:val="28"/>
          <w:szCs w:val="28"/>
        </w:rPr>
        <w:t>Intervention</w:t>
      </w:r>
      <w:r w:rsidR="00B24D60" w:rsidRPr="00844B7C">
        <w:rPr>
          <w:rFonts w:cs="Arial"/>
          <w:b/>
          <w:color w:val="7030A0"/>
          <w:sz w:val="28"/>
          <w:szCs w:val="28"/>
        </w:rPr>
        <w:t xml:space="preserve"> &amp; Control</w:t>
      </w:r>
    </w:p>
    <w:p w14:paraId="23284040" w14:textId="7C96382F" w:rsidR="00A6188C" w:rsidRPr="00844B7C" w:rsidRDefault="00D25CBA" w:rsidP="00D25CBA">
      <w:pPr>
        <w:rPr>
          <w:rFonts w:cs="Arial"/>
        </w:rPr>
      </w:pPr>
      <w:r w:rsidRPr="00844B7C">
        <w:rPr>
          <w:rFonts w:cs="Arial"/>
        </w:rPr>
        <w:t>The intervention for this paper is the different distances recommended. The paper states 1-2m distance recommendation appears to come from research carried out in the late 1900s and early 20</w:t>
      </w:r>
      <w:r w:rsidRPr="00844B7C">
        <w:rPr>
          <w:rFonts w:cs="Arial"/>
          <w:vertAlign w:val="superscript"/>
        </w:rPr>
        <w:t>th</w:t>
      </w:r>
      <w:r w:rsidRPr="00844B7C">
        <w:rPr>
          <w:rFonts w:cs="Arial"/>
        </w:rPr>
        <w:t xml:space="preserve"> century that was based on the observation of horizontal spread of visible droplets. </w:t>
      </w:r>
      <w:r w:rsidR="00CE069D" w:rsidRPr="00844B7C">
        <w:rPr>
          <w:rFonts w:cs="Arial"/>
        </w:rPr>
        <w:t xml:space="preserve">The paper states more recent evidence on viruses similar to Covid-19 (SARS Cov-1, MERS) that droplet spread has been demonstrated beyond 2m. </w:t>
      </w:r>
      <w:r w:rsidR="00A6188C" w:rsidRPr="00844B7C">
        <w:rPr>
          <w:rFonts w:cs="Arial"/>
        </w:rPr>
        <w:t xml:space="preserve">The paper takes into consideration differences in droplet size, forces of emission and different types of environments (indoor vs outdoor, ventilation) in order to assess the risk of transmission at various </w:t>
      </w:r>
      <w:r w:rsidR="00525FF8" w:rsidRPr="00844B7C">
        <w:rPr>
          <w:rFonts w:cs="Arial"/>
        </w:rPr>
        <w:t xml:space="preserve">distances. The effects of wearing face coverings and the length of contact are also shown to affect the risk of contracting the virus. </w:t>
      </w:r>
      <w:r w:rsidR="00B07634" w:rsidRPr="00844B7C">
        <w:rPr>
          <w:rFonts w:cs="Arial"/>
        </w:rPr>
        <w:t xml:space="preserve">These conclusions are displayed nicely in Figure 3. However, the paper itself states this is a “guide”, and is not </w:t>
      </w:r>
      <w:r w:rsidR="00C05A17" w:rsidRPr="00844B7C">
        <w:rPr>
          <w:rFonts w:cs="Arial"/>
        </w:rPr>
        <w:t xml:space="preserve">rigid </w:t>
      </w:r>
      <w:r w:rsidR="006A5A88" w:rsidRPr="00844B7C">
        <w:rPr>
          <w:rFonts w:cs="Arial"/>
        </w:rPr>
        <w:t xml:space="preserve">instruction. </w:t>
      </w:r>
      <w:r w:rsidR="00C05A17" w:rsidRPr="00844B7C">
        <w:rPr>
          <w:rFonts w:cs="Arial"/>
        </w:rPr>
        <w:t xml:space="preserve"> </w:t>
      </w:r>
    </w:p>
    <w:p w14:paraId="0BA9150A" w14:textId="77777777" w:rsidR="00DC62EB" w:rsidRPr="00844B7C" w:rsidRDefault="00DC62EB" w:rsidP="00D25CBA">
      <w:pPr>
        <w:rPr>
          <w:rFonts w:cs="Arial"/>
        </w:rPr>
      </w:pPr>
    </w:p>
    <w:p w14:paraId="7098CFC3" w14:textId="31674F59" w:rsidR="00DC62EB" w:rsidRPr="00844B7C" w:rsidRDefault="00DC62EB" w:rsidP="00844B7C">
      <w:pPr>
        <w:rPr>
          <w:rFonts w:cs="Arial"/>
          <w:b/>
          <w:color w:val="7030A0"/>
          <w:sz w:val="28"/>
          <w:szCs w:val="28"/>
        </w:rPr>
      </w:pPr>
      <w:r w:rsidRPr="00844B7C">
        <w:rPr>
          <w:rFonts w:cs="Arial"/>
          <w:b/>
          <w:color w:val="7030A0"/>
          <w:sz w:val="28"/>
          <w:szCs w:val="28"/>
        </w:rPr>
        <w:t>Outcome</w:t>
      </w:r>
    </w:p>
    <w:p w14:paraId="635BC533" w14:textId="4A04CFB4" w:rsidR="00DC62EB" w:rsidRPr="00844B7C" w:rsidRDefault="00DC62EB" w:rsidP="00D25CBA">
      <w:pPr>
        <w:rPr>
          <w:rFonts w:cs="Arial"/>
        </w:rPr>
      </w:pPr>
      <w:r w:rsidRPr="00844B7C">
        <w:rPr>
          <w:rFonts w:cs="Arial"/>
        </w:rPr>
        <w:t xml:space="preserve">The conclusions of this paper are that the current guidelines are based on out-dated evidence, and that there is evidence to suggest </w:t>
      </w:r>
      <w:proofErr w:type="spellStart"/>
      <w:r w:rsidRPr="00844B7C">
        <w:rPr>
          <w:rFonts w:cs="Arial"/>
        </w:rPr>
        <w:t>Sars</w:t>
      </w:r>
      <w:proofErr w:type="spellEnd"/>
      <w:r w:rsidRPr="00844B7C">
        <w:rPr>
          <w:rFonts w:cs="Arial"/>
        </w:rPr>
        <w:t xml:space="preserve">- </w:t>
      </w:r>
      <w:proofErr w:type="spellStart"/>
      <w:r w:rsidRPr="00844B7C">
        <w:rPr>
          <w:rFonts w:cs="Arial"/>
        </w:rPr>
        <w:t>Cov</w:t>
      </w:r>
      <w:proofErr w:type="spellEnd"/>
      <w:r w:rsidRPr="00844B7C">
        <w:rPr>
          <w:rFonts w:cs="Arial"/>
        </w:rPr>
        <w:t xml:space="preserve">- 2 can be transmitted beyond 2m, especially when force of emission is taken into account </w:t>
      </w:r>
      <w:r w:rsidRPr="00844B7C">
        <w:rPr>
          <w:rFonts w:cs="Arial"/>
        </w:rPr>
        <w:lastRenderedPageBreak/>
        <w:t xml:space="preserve">(e.g. coughing, shouting). </w:t>
      </w:r>
      <w:r w:rsidR="00135C17" w:rsidRPr="00844B7C">
        <w:rPr>
          <w:rFonts w:cs="Arial"/>
        </w:rPr>
        <w:t xml:space="preserve">There are multiple factors which affect the risk of infection such as face coverings, </w:t>
      </w:r>
      <w:r w:rsidR="00196E99" w:rsidRPr="00844B7C">
        <w:rPr>
          <w:rFonts w:cs="Arial"/>
        </w:rPr>
        <w:t xml:space="preserve">indoor vs outdoor environment, ventilation and </w:t>
      </w:r>
      <w:r w:rsidR="00BA4E80" w:rsidRPr="00844B7C">
        <w:rPr>
          <w:rFonts w:cs="Arial"/>
        </w:rPr>
        <w:t>guidelines should reflect these relative risks.</w:t>
      </w:r>
    </w:p>
    <w:p w14:paraId="3C740587" w14:textId="77777777" w:rsidR="00BA4E80" w:rsidRPr="00844B7C" w:rsidRDefault="00BA4E80" w:rsidP="00D25CBA">
      <w:pPr>
        <w:rPr>
          <w:rFonts w:cs="Arial"/>
        </w:rPr>
      </w:pPr>
    </w:p>
    <w:p w14:paraId="4827D5B5" w14:textId="77777777" w:rsidR="00141780" w:rsidRPr="00844B7C" w:rsidRDefault="00141780" w:rsidP="00D25CBA">
      <w:pPr>
        <w:rPr>
          <w:rFonts w:cs="Arial"/>
          <w:b/>
        </w:rPr>
      </w:pPr>
    </w:p>
    <w:p w14:paraId="35A1070E" w14:textId="3A18E4FC" w:rsidR="00BA4E80" w:rsidRPr="00844B7C" w:rsidRDefault="00BA4E80" w:rsidP="00844B7C">
      <w:pPr>
        <w:rPr>
          <w:rFonts w:cs="Arial"/>
          <w:b/>
          <w:color w:val="7030A0"/>
          <w:sz w:val="28"/>
          <w:szCs w:val="28"/>
        </w:rPr>
      </w:pPr>
      <w:r w:rsidRPr="00844B7C">
        <w:rPr>
          <w:rFonts w:cs="Arial"/>
          <w:b/>
          <w:color w:val="7030A0"/>
          <w:sz w:val="28"/>
          <w:szCs w:val="28"/>
        </w:rPr>
        <w:t>Critical Appraisal</w:t>
      </w:r>
    </w:p>
    <w:p w14:paraId="3B3E5367" w14:textId="4D4D69C5" w:rsidR="00141780" w:rsidRPr="00844B7C" w:rsidRDefault="00141780" w:rsidP="00D25CBA">
      <w:pPr>
        <w:rPr>
          <w:rFonts w:cs="Arial"/>
        </w:rPr>
      </w:pPr>
      <w:r w:rsidRPr="00844B7C">
        <w:rPr>
          <w:rFonts w:cs="Arial"/>
        </w:rPr>
        <w:t xml:space="preserve">This systematic review uses a range of available evidence to analyse the basis of the current guidance, and rightly identifies their limitations (in some cases this may be </w:t>
      </w:r>
      <w:proofErr w:type="spellStart"/>
      <w:r w:rsidRPr="00844B7C">
        <w:rPr>
          <w:rFonts w:cs="Arial"/>
        </w:rPr>
        <w:t>superceded</w:t>
      </w:r>
      <w:proofErr w:type="spellEnd"/>
      <w:r w:rsidRPr="00844B7C">
        <w:rPr>
          <w:rFonts w:cs="Arial"/>
        </w:rPr>
        <w:t xml:space="preserve"> by more recent evidence, small cohort studies, observational)</w:t>
      </w:r>
      <w:r w:rsidR="0077043C" w:rsidRPr="00844B7C">
        <w:rPr>
          <w:rFonts w:cs="Arial"/>
        </w:rPr>
        <w:t xml:space="preserve">. The original studies contributing to the 2m distance are identified and appraised. </w:t>
      </w:r>
      <w:r w:rsidR="00A62502" w:rsidRPr="00844B7C">
        <w:rPr>
          <w:rFonts w:cs="Arial"/>
        </w:rPr>
        <w:t xml:space="preserve">More recent evidence based on the transmission of SARS- </w:t>
      </w:r>
      <w:proofErr w:type="spellStart"/>
      <w:r w:rsidR="00A62502" w:rsidRPr="00844B7C">
        <w:rPr>
          <w:rFonts w:cs="Arial"/>
        </w:rPr>
        <w:t>Cov</w:t>
      </w:r>
      <w:proofErr w:type="spellEnd"/>
      <w:r w:rsidR="00A62502" w:rsidRPr="00844B7C">
        <w:rPr>
          <w:rFonts w:cs="Arial"/>
        </w:rPr>
        <w:t>- 1 and MERS</w:t>
      </w:r>
      <w:r w:rsidR="006B7A6E" w:rsidRPr="00844B7C">
        <w:rPr>
          <w:rFonts w:cs="Arial"/>
        </w:rPr>
        <w:t xml:space="preserve"> are analysed, but limitations of these studies are also addressed.</w:t>
      </w:r>
      <w:r w:rsidR="00A62502" w:rsidRPr="00844B7C">
        <w:rPr>
          <w:rFonts w:cs="Arial"/>
        </w:rPr>
        <w:t xml:space="preserve"> </w:t>
      </w:r>
      <w:r w:rsidR="00F04393" w:rsidRPr="00844B7C">
        <w:rPr>
          <w:rFonts w:cs="Arial"/>
        </w:rPr>
        <w:t xml:space="preserve">Numerous additional factors are also identified and analysed (droplet size, force of emission, environment), however there is no quantifiable risk/ mitigation attached to each. The figure demonstrating the risk levels displays their conclusions well, however does not seem to be quantified directly from evidence. </w:t>
      </w:r>
      <w:r w:rsidR="00D31501" w:rsidRPr="00844B7C">
        <w:rPr>
          <w:rFonts w:cs="Arial"/>
        </w:rPr>
        <w:t xml:space="preserve">SARS- </w:t>
      </w:r>
      <w:proofErr w:type="spellStart"/>
      <w:r w:rsidR="00D31501" w:rsidRPr="00844B7C">
        <w:rPr>
          <w:rFonts w:cs="Arial"/>
        </w:rPr>
        <w:t>Cov</w:t>
      </w:r>
      <w:proofErr w:type="spellEnd"/>
      <w:r w:rsidR="00D31501" w:rsidRPr="00844B7C">
        <w:rPr>
          <w:rFonts w:cs="Arial"/>
        </w:rPr>
        <w:t xml:space="preserve">- 2 is relatively new, and whilst numerous studies have </w:t>
      </w:r>
      <w:r w:rsidR="00E84881" w:rsidRPr="00844B7C">
        <w:rPr>
          <w:rFonts w:cs="Arial"/>
        </w:rPr>
        <w:t>been carried out, there is much more research to be done in order to identify</w:t>
      </w:r>
      <w:r w:rsidR="00507B33" w:rsidRPr="00844B7C">
        <w:rPr>
          <w:rFonts w:cs="Arial"/>
        </w:rPr>
        <w:t xml:space="preserve"> the risks and mitigation factors for this virus specifically. </w:t>
      </w:r>
    </w:p>
    <w:p w14:paraId="15314C3C" w14:textId="6574E6B3" w:rsidR="00FD4DB7" w:rsidRDefault="00FD4DB7" w:rsidP="00D25CBA"/>
    <w:p w14:paraId="50C345CE" w14:textId="77777777" w:rsidR="001430D0" w:rsidRPr="00844B7C" w:rsidRDefault="001430D0" w:rsidP="00D25CBA"/>
    <w:p w14:paraId="61F1C334" w14:textId="070BBE49" w:rsidR="00844B7C" w:rsidRPr="001430D0" w:rsidRDefault="00844B7C" w:rsidP="00844B7C">
      <w:pPr>
        <w:jc w:val="center"/>
        <w:rPr>
          <w:rFonts w:cs="Arial"/>
          <w:b/>
          <w:color w:val="7030A0"/>
          <w:sz w:val="36"/>
          <w:szCs w:val="28"/>
        </w:rPr>
      </w:pPr>
      <w:r w:rsidRPr="001430D0">
        <w:rPr>
          <w:rFonts w:cs="Arial"/>
          <w:b/>
          <w:color w:val="7030A0"/>
          <w:sz w:val="36"/>
          <w:szCs w:val="28"/>
        </w:rPr>
        <w:t xml:space="preserve">MMJ </w:t>
      </w:r>
      <w:r w:rsidRPr="001430D0">
        <w:rPr>
          <w:rFonts w:cs="Arial"/>
          <w:b/>
          <w:color w:val="7030A0"/>
          <w:sz w:val="36"/>
          <w:szCs w:val="28"/>
        </w:rPr>
        <w:t xml:space="preserve">Journal Club Session </w:t>
      </w:r>
      <w:r w:rsidRPr="001430D0">
        <w:rPr>
          <w:rFonts w:cs="Arial"/>
          <w:b/>
          <w:color w:val="7030A0"/>
          <w:sz w:val="36"/>
          <w:szCs w:val="28"/>
        </w:rPr>
        <w:t>2</w:t>
      </w:r>
      <w:r w:rsidRPr="001430D0">
        <w:rPr>
          <w:rFonts w:cs="Arial"/>
          <w:b/>
          <w:color w:val="7030A0"/>
          <w:sz w:val="36"/>
          <w:szCs w:val="28"/>
        </w:rPr>
        <w:t xml:space="preserve">: </w:t>
      </w:r>
      <w:r w:rsidRPr="001430D0">
        <w:rPr>
          <w:rFonts w:cs="Arial"/>
          <w:b/>
          <w:color w:val="7030A0"/>
          <w:sz w:val="36"/>
          <w:szCs w:val="28"/>
        </w:rPr>
        <w:t>21</w:t>
      </w:r>
      <w:r w:rsidRPr="001430D0">
        <w:rPr>
          <w:rFonts w:cs="Arial"/>
          <w:b/>
          <w:color w:val="7030A0"/>
          <w:sz w:val="36"/>
          <w:szCs w:val="28"/>
        </w:rPr>
        <w:t>/09/2020</w:t>
      </w:r>
    </w:p>
    <w:p w14:paraId="688FBB27" w14:textId="6D0BAFB1" w:rsidR="00844B7C" w:rsidRPr="001430D0" w:rsidRDefault="00844B7C" w:rsidP="00844B7C">
      <w:pPr>
        <w:jc w:val="center"/>
        <w:rPr>
          <w:rFonts w:cs="Arial"/>
          <w:b/>
          <w:color w:val="8064A2" w:themeColor="accent4"/>
          <w:sz w:val="28"/>
          <w:szCs w:val="22"/>
        </w:rPr>
      </w:pPr>
    </w:p>
    <w:p w14:paraId="627AD651" w14:textId="77777777" w:rsidR="00844B7C" w:rsidRPr="001430D0" w:rsidRDefault="00844B7C" w:rsidP="00844B7C">
      <w:pPr>
        <w:pStyle w:val="Subtitle"/>
        <w:spacing w:line="240" w:lineRule="auto"/>
        <w:jc w:val="center"/>
        <w:rPr>
          <w:b/>
          <w:bCs/>
          <w:color w:val="000000" w:themeColor="text1"/>
          <w:sz w:val="24"/>
          <w:szCs w:val="24"/>
        </w:rPr>
      </w:pPr>
      <w:r w:rsidRPr="001430D0">
        <w:rPr>
          <w:b/>
          <w:bCs/>
          <w:color w:val="000000" w:themeColor="text1"/>
          <w:sz w:val="28"/>
          <w:szCs w:val="28"/>
        </w:rPr>
        <w:t xml:space="preserve">Effects of tranexamic acid on death, disability, vascular occlusive events and other morbidities in patients with acute traumatic brain injury (CRASH-3): a randomised, placebo-controlled trial. </w:t>
      </w:r>
    </w:p>
    <w:p w14:paraId="6A1255C1" w14:textId="1832DEE4" w:rsidR="00844B7C" w:rsidRDefault="00844B7C" w:rsidP="003F5C83">
      <w:pPr>
        <w:pStyle w:val="Subtitle"/>
        <w:spacing w:line="240" w:lineRule="auto"/>
        <w:jc w:val="center"/>
        <w:rPr>
          <w:color w:val="000000" w:themeColor="text1"/>
          <w:sz w:val="24"/>
          <w:szCs w:val="24"/>
        </w:rPr>
      </w:pPr>
      <w:r w:rsidRPr="001430D0">
        <w:rPr>
          <w:color w:val="000000" w:themeColor="text1"/>
          <w:sz w:val="24"/>
          <w:szCs w:val="24"/>
        </w:rPr>
        <w:t>The CRASH-3 trial collaborators. Lancet. 2019; DOI: 10.1016/S0140-6736(19)32233-0</w:t>
      </w:r>
    </w:p>
    <w:p w14:paraId="2173444B" w14:textId="77777777" w:rsidR="003F5C83" w:rsidRPr="003F5C83" w:rsidRDefault="003F5C83" w:rsidP="003F5C83">
      <w:pPr>
        <w:jc w:val="center"/>
        <w:rPr>
          <w:rFonts w:cs="Arial"/>
          <w:sz w:val="32"/>
        </w:rPr>
      </w:pPr>
    </w:p>
    <w:p w14:paraId="5E0FAF36" w14:textId="65D29C62" w:rsidR="003F5C83" w:rsidRPr="00844B7C" w:rsidRDefault="003F5C83" w:rsidP="003F5C83">
      <w:pPr>
        <w:ind w:firstLine="720"/>
        <w:jc w:val="center"/>
        <w:rPr>
          <w:rFonts w:cs="Arial"/>
          <w:b/>
        </w:rPr>
      </w:pPr>
      <w:r>
        <w:rPr>
          <w:rFonts w:cs="Arial"/>
          <w:b/>
        </w:rPr>
        <w:t xml:space="preserve">Analysis </w:t>
      </w:r>
      <w:proofErr w:type="gramStart"/>
      <w:r>
        <w:rPr>
          <w:rFonts w:cs="Arial"/>
          <w:b/>
        </w:rPr>
        <w:t>by:</w:t>
      </w:r>
      <w:proofErr w:type="gramEnd"/>
      <w:r>
        <w:rPr>
          <w:rFonts w:cs="Arial"/>
          <w:b/>
        </w:rPr>
        <w:t xml:space="preserve"> </w:t>
      </w:r>
      <w:r>
        <w:rPr>
          <w:rFonts w:cs="Arial"/>
          <w:b/>
        </w:rPr>
        <w:t>Tricia Tay</w:t>
      </w:r>
    </w:p>
    <w:p w14:paraId="5C70C9F1"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t xml:space="preserve">Background </w:t>
      </w:r>
    </w:p>
    <w:p w14:paraId="6E0013EA" w14:textId="77777777" w:rsidR="00844B7C" w:rsidRPr="00844B7C" w:rsidRDefault="00844B7C" w:rsidP="00844B7C">
      <w:r w:rsidRPr="00844B7C">
        <w:t xml:space="preserve">After the success of CRASH-2 Trial, CRASH-3 trial was conducted on the use of Tranexamic acid on patients with more severe traumatic brain injuries (TBI) than before. </w:t>
      </w:r>
    </w:p>
    <w:p w14:paraId="1408F165"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t xml:space="preserve">Population </w:t>
      </w:r>
    </w:p>
    <w:p w14:paraId="36216D0F" w14:textId="77777777" w:rsidR="00844B7C" w:rsidRPr="00844B7C" w:rsidRDefault="00844B7C" w:rsidP="00844B7C">
      <w:r w:rsidRPr="00844B7C">
        <w:t xml:space="preserve">Internationally, 12, 737 patients with traumatic brain injury from hospitals were included. Adults were within three hours of injury, had less than or equal to 12 on Glasgow Coma Scale or any intracranial bleed on CT scan, and no major extracranial bleeding. Consent was sought from relative or legal representative due to nature of injury and patients were incapable of giving informed consent. </w:t>
      </w:r>
    </w:p>
    <w:p w14:paraId="3B61A939"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lastRenderedPageBreak/>
        <w:t xml:space="preserve">Intervention </w:t>
      </w:r>
    </w:p>
    <w:p w14:paraId="2CA5C234" w14:textId="77777777" w:rsidR="00844B7C" w:rsidRPr="00844B7C" w:rsidRDefault="00844B7C" w:rsidP="00844B7C">
      <w:r w:rsidRPr="00844B7C">
        <w:t xml:space="preserve">Patients were randomised to receive </w:t>
      </w:r>
      <w:proofErr w:type="spellStart"/>
      <w:r w:rsidRPr="00844B7C">
        <w:t>transexemic</w:t>
      </w:r>
      <w:proofErr w:type="spellEnd"/>
      <w:r w:rsidRPr="00844B7C">
        <w:t xml:space="preserve"> acid (TXA) or placebo within 3 hours of injury.</w:t>
      </w:r>
    </w:p>
    <w:p w14:paraId="6E181E34"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t xml:space="preserve">Control/Comparison </w:t>
      </w:r>
    </w:p>
    <w:p w14:paraId="2E4B9E83" w14:textId="77777777" w:rsidR="00844B7C" w:rsidRDefault="00844B7C" w:rsidP="00844B7C">
      <w:r>
        <w:t xml:space="preserve">The alternative to tranexamic acid was placebo which is intravenous infusion of 0.9% sodium chloride. Emergency unblinding service was available for use if knowledge of whether TXA was used would affect clinical management of patient. </w:t>
      </w:r>
    </w:p>
    <w:p w14:paraId="260CD78A" w14:textId="77777777" w:rsidR="00844B7C" w:rsidRDefault="00844B7C" w:rsidP="00844B7C">
      <w:r>
        <w:t>Comparison on severity of head injury – Mild to moderate (GCS9-15), Severe (GCS3-8), and pupil reactivity. Subgroup analysis of estimated time interval between injury and receiving TXA.</w:t>
      </w:r>
    </w:p>
    <w:p w14:paraId="55B59BB4"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t xml:space="preserve">Outcome </w:t>
      </w:r>
    </w:p>
    <w:p w14:paraId="332328AD" w14:textId="77777777" w:rsidR="00844B7C" w:rsidRDefault="00844B7C" w:rsidP="00844B7C">
      <w:r>
        <w:t xml:space="preserve">Early treatment was more effective than late treatment in patients with mild-moderate head injury (p=0.005). There was significant reduced risk of head injury-related death among mild-moderate vs severe head injury. </w:t>
      </w:r>
    </w:p>
    <w:p w14:paraId="66DC37FB" w14:textId="77777777" w:rsidR="00844B7C" w:rsidRDefault="00844B7C" w:rsidP="00844B7C">
      <w:r>
        <w:t>There was no significant change in risk of head injury-related death, even after exclusion of patients with GCS 3 or bilateral unreactive pupil at baseline. No obvious effect of TXA in patients with severe head injury (p=0.73). There was similar risk of vascular occlusive effects and seizures</w:t>
      </w:r>
    </w:p>
    <w:p w14:paraId="295C8ECC" w14:textId="77777777" w:rsidR="00844B7C" w:rsidRPr="00844B7C" w:rsidRDefault="00844B7C" w:rsidP="00844B7C">
      <w:pPr>
        <w:pStyle w:val="Heading1"/>
        <w:rPr>
          <w:rFonts w:asciiTheme="minorHAnsi" w:hAnsiTheme="minorHAnsi"/>
          <w:b/>
          <w:bCs/>
          <w:color w:val="7030A0"/>
          <w:sz w:val="28"/>
          <w:szCs w:val="28"/>
        </w:rPr>
      </w:pPr>
      <w:r w:rsidRPr="00844B7C">
        <w:rPr>
          <w:rFonts w:asciiTheme="minorHAnsi" w:hAnsiTheme="minorHAnsi"/>
          <w:b/>
          <w:bCs/>
          <w:color w:val="7030A0"/>
          <w:sz w:val="28"/>
          <w:szCs w:val="28"/>
        </w:rPr>
        <w:t xml:space="preserve">Critical Appraisal </w:t>
      </w:r>
    </w:p>
    <w:p w14:paraId="5EDEF030" w14:textId="77777777" w:rsidR="00844B7C" w:rsidRPr="00844B7C" w:rsidRDefault="00844B7C" w:rsidP="00844B7C">
      <w:pPr>
        <w:pStyle w:val="Heading2"/>
        <w:rPr>
          <w:rFonts w:asciiTheme="minorHAnsi" w:hAnsiTheme="minorHAnsi"/>
          <w:b/>
          <w:bCs/>
          <w:color w:val="7030A0"/>
          <w:sz w:val="24"/>
          <w:szCs w:val="24"/>
        </w:rPr>
      </w:pPr>
      <w:r w:rsidRPr="00844B7C">
        <w:rPr>
          <w:rFonts w:asciiTheme="minorHAnsi" w:hAnsiTheme="minorHAnsi"/>
          <w:b/>
          <w:bCs/>
          <w:color w:val="7030A0"/>
          <w:sz w:val="24"/>
          <w:szCs w:val="24"/>
        </w:rPr>
        <w:t>Strengths</w:t>
      </w:r>
    </w:p>
    <w:p w14:paraId="29B1579A" w14:textId="77777777" w:rsidR="00844B7C" w:rsidRDefault="00844B7C" w:rsidP="00844B7C">
      <w:r>
        <w:t>Greatest strength is the fact that it is a large multi-centred randomised control trial which lends the trial external validity. In terms of internal validity, there was p</w:t>
      </w:r>
      <w:r w:rsidRPr="00403D01">
        <w:t>re-specified subgroups clinically relevant and achievable</w:t>
      </w:r>
      <w:r>
        <w:t>.</w:t>
      </w:r>
      <w:r w:rsidRPr="00403D01">
        <w:t xml:space="preserve"> </w:t>
      </w:r>
      <w:r>
        <w:t>Statistically, correct tests used, the numbers were well-powered (two-sided alpha = 1%). In addition, p</w:t>
      </w:r>
      <w:r w:rsidRPr="003C2A41">
        <w:t xml:space="preserve">atient focused outcomes </w:t>
      </w:r>
      <w:r>
        <w:t xml:space="preserve">were </w:t>
      </w:r>
      <w:r w:rsidRPr="003C2A41">
        <w:t>reported</w:t>
      </w:r>
      <w:r>
        <w:t xml:space="preserve">. </w:t>
      </w:r>
    </w:p>
    <w:p w14:paraId="137A7395" w14:textId="77777777" w:rsidR="00844B7C" w:rsidRDefault="00844B7C" w:rsidP="00844B7C">
      <w:r>
        <w:t xml:space="preserve">On the topic of bias, this was double blinded which reduces selection bias. Patients were randomised which reduces detection bias. There was 28-days follow-up with minimal loss of all patients which reduce attrition bias. </w:t>
      </w:r>
    </w:p>
    <w:p w14:paraId="5BB0DD4A" w14:textId="77777777" w:rsidR="00844B7C" w:rsidRDefault="00844B7C" w:rsidP="00844B7C">
      <w:r>
        <w:t xml:space="preserve">In the middle of the trial, the time window for eligibility changed from within 8hours to within 3 hours of injury. This is arguably also a strength as this follows existing literature. </w:t>
      </w:r>
    </w:p>
    <w:p w14:paraId="2B2648A2" w14:textId="77777777" w:rsidR="00844B7C" w:rsidRPr="00844B7C" w:rsidRDefault="00844B7C" w:rsidP="00844B7C">
      <w:pPr>
        <w:pStyle w:val="Heading2"/>
        <w:rPr>
          <w:rFonts w:asciiTheme="minorHAnsi" w:hAnsiTheme="minorHAnsi"/>
          <w:b/>
          <w:bCs/>
          <w:color w:val="7030A0"/>
          <w:sz w:val="24"/>
          <w:szCs w:val="24"/>
        </w:rPr>
      </w:pPr>
      <w:r w:rsidRPr="00844B7C">
        <w:rPr>
          <w:rFonts w:asciiTheme="minorHAnsi" w:hAnsiTheme="minorHAnsi"/>
          <w:b/>
          <w:bCs/>
          <w:color w:val="7030A0"/>
          <w:sz w:val="24"/>
          <w:szCs w:val="24"/>
        </w:rPr>
        <w:t>Weaknesses</w:t>
      </w:r>
    </w:p>
    <w:p w14:paraId="76BD4624" w14:textId="77777777" w:rsidR="00844B7C" w:rsidRDefault="00844B7C" w:rsidP="00844B7C">
      <w:r>
        <w:t xml:space="preserve">There was </w:t>
      </w:r>
      <w:proofErr w:type="gramStart"/>
      <w:r>
        <w:t>a 28 days</w:t>
      </w:r>
      <w:proofErr w:type="gramEnd"/>
      <w:r>
        <w:t xml:space="preserve"> cut off - exclude cohort of patients who died after cut off due to TBI such as withdrawal of medical care, direct result of TBI, or death after discharge. For patients who survived, longer term data is required. </w:t>
      </w:r>
    </w:p>
    <w:p w14:paraId="5638C45E" w14:textId="77777777" w:rsidR="00844B7C" w:rsidRDefault="00844B7C" w:rsidP="00844B7C">
      <w:r>
        <w:t>There were no reports of pre-hospital management.</w:t>
      </w:r>
    </w:p>
    <w:p w14:paraId="5AD23C90" w14:textId="77777777" w:rsidR="00844B7C" w:rsidRDefault="00844B7C" w:rsidP="00844B7C">
      <w:r>
        <w:t xml:space="preserve">Within the conclusion, it states that "treatment within 3h of injury reduces head-injury associated death" does not correlate with statistical analysis as 95%CI crosses 1 (no difference between). </w:t>
      </w:r>
    </w:p>
    <w:p w14:paraId="4E6A482A" w14:textId="77777777" w:rsidR="00844B7C" w:rsidRDefault="00844B7C" w:rsidP="00844B7C"/>
    <w:p w14:paraId="5E5F43A8" w14:textId="77777777" w:rsidR="00844B7C" w:rsidRPr="00844B7C" w:rsidRDefault="00844B7C" w:rsidP="00844B7C">
      <w:pPr>
        <w:pStyle w:val="Heading1"/>
        <w:rPr>
          <w:rFonts w:asciiTheme="minorHAnsi" w:hAnsiTheme="minorHAnsi"/>
          <w:b/>
          <w:bCs/>
          <w:color w:val="7030A0"/>
          <w:sz w:val="24"/>
          <w:szCs w:val="24"/>
        </w:rPr>
      </w:pPr>
      <w:r w:rsidRPr="00844B7C">
        <w:rPr>
          <w:rFonts w:asciiTheme="minorHAnsi" w:hAnsiTheme="minorHAnsi"/>
          <w:b/>
          <w:bCs/>
          <w:color w:val="7030A0"/>
          <w:sz w:val="24"/>
          <w:szCs w:val="24"/>
        </w:rPr>
        <w:t xml:space="preserve">References: </w:t>
      </w:r>
    </w:p>
    <w:p w14:paraId="07B35A0D" w14:textId="77777777" w:rsidR="00844B7C" w:rsidRDefault="00844B7C" w:rsidP="00844B7C">
      <w:r>
        <w:t xml:space="preserve">1. Effects of tranexamic acid on death, disability, vascular occlusive events and other morbidities in patients with acute traumatic brain injury (CRASH-3): a </w:t>
      </w:r>
      <w:r>
        <w:lastRenderedPageBreak/>
        <w:t>randomised, placebo-controlled trial. The CRASH-3 trial collaborators. Lancet. 2019</w:t>
      </w:r>
    </w:p>
    <w:p w14:paraId="06926C48" w14:textId="77777777" w:rsidR="00844B7C" w:rsidRDefault="00844B7C" w:rsidP="00844B7C">
      <w:r>
        <w:t>2. CRASH-3 – The Bottom Line: https://www.thebottomline.org.uk/summaries/crash-3/</w:t>
      </w:r>
    </w:p>
    <w:p w14:paraId="3A50CB8A" w14:textId="77777777" w:rsidR="00844B7C" w:rsidRDefault="00844B7C" w:rsidP="00844B7C">
      <w:r>
        <w:t>3. </w:t>
      </w:r>
      <w:proofErr w:type="spellStart"/>
      <w:r>
        <w:t>PulmCrit</w:t>
      </w:r>
      <w:proofErr w:type="spellEnd"/>
      <w:r>
        <w:t>- Tranexamic acid for traumatic brain injury (CRASH3): </w:t>
      </w:r>
      <w:hyperlink r:id="rId5" w:history="1">
        <w:r w:rsidRPr="00976727">
          <w:rPr>
            <w:rStyle w:val="Hyperlink"/>
          </w:rPr>
          <w:t>https://emcrit.org/pulmcrit/crash3/</w:t>
        </w:r>
      </w:hyperlink>
    </w:p>
    <w:p w14:paraId="489D4E9D" w14:textId="77777777" w:rsidR="00844B7C" w:rsidRDefault="00844B7C" w:rsidP="00844B7C"/>
    <w:p w14:paraId="55DDC2F0" w14:textId="77777777" w:rsidR="00844B7C" w:rsidRDefault="00844B7C" w:rsidP="00844B7C">
      <w:r>
        <w:t xml:space="preserve">For annotated paper - </w:t>
      </w:r>
      <w:hyperlink r:id="rId6" w:history="1">
        <w:r w:rsidRPr="00976727">
          <w:rPr>
            <w:rStyle w:val="Hyperlink"/>
          </w:rPr>
          <w:t>https://www.medicsjournalclub.com/post/tranexamic-acid-for-acute-traumatic-brain-injury</w:t>
        </w:r>
      </w:hyperlink>
    </w:p>
    <w:p w14:paraId="7460020C" w14:textId="77777777" w:rsidR="00844B7C" w:rsidRPr="00844B7C" w:rsidRDefault="00844B7C" w:rsidP="00844B7C">
      <w:pPr>
        <w:jc w:val="center"/>
        <w:rPr>
          <w:rFonts w:ascii="Arial" w:hAnsi="Arial" w:cs="Arial"/>
          <w:b/>
          <w:color w:val="8064A2" w:themeColor="accent4"/>
          <w:sz w:val="32"/>
        </w:rPr>
      </w:pPr>
    </w:p>
    <w:p w14:paraId="173F71DB" w14:textId="6E59D570" w:rsidR="00631A4C" w:rsidRDefault="00631A4C" w:rsidP="00D25CBA"/>
    <w:p w14:paraId="075E0F38" w14:textId="31A25467" w:rsidR="001430D0" w:rsidRPr="001430D0" w:rsidRDefault="001430D0" w:rsidP="001430D0">
      <w:pPr>
        <w:jc w:val="center"/>
        <w:rPr>
          <w:b/>
          <w:bCs/>
          <w:color w:val="7030A0"/>
          <w:sz w:val="36"/>
          <w:szCs w:val="36"/>
        </w:rPr>
      </w:pPr>
      <w:r w:rsidRPr="001430D0">
        <w:rPr>
          <w:b/>
          <w:bCs/>
          <w:color w:val="7030A0"/>
          <w:sz w:val="36"/>
          <w:szCs w:val="36"/>
        </w:rPr>
        <w:t>MMJ Journal Club Session 3: 05/10/2020</w:t>
      </w:r>
    </w:p>
    <w:p w14:paraId="68160D51" w14:textId="3B8CB3A2" w:rsidR="00844B7C" w:rsidRDefault="00844B7C" w:rsidP="00D25CBA">
      <w:pPr>
        <w:rPr>
          <w:b/>
          <w:bCs/>
        </w:rPr>
      </w:pPr>
    </w:p>
    <w:p w14:paraId="1FD41AE1" w14:textId="77777777" w:rsidR="001430D0" w:rsidRPr="00844B7C" w:rsidRDefault="001430D0" w:rsidP="00D25CBA">
      <w:pPr>
        <w:rPr>
          <w:b/>
          <w:bCs/>
        </w:rPr>
      </w:pPr>
    </w:p>
    <w:p w14:paraId="1F465E0F" w14:textId="6A7E9B2A" w:rsidR="00FD4DB7" w:rsidRDefault="001430D0" w:rsidP="001430D0">
      <w:pPr>
        <w:jc w:val="center"/>
        <w:rPr>
          <w:rFonts w:cs="Arial"/>
          <w:b/>
          <w:bCs/>
          <w:sz w:val="28"/>
          <w:szCs w:val="28"/>
        </w:rPr>
      </w:pPr>
      <w:r w:rsidRPr="001430D0">
        <w:rPr>
          <w:rFonts w:cs="Arial"/>
          <w:b/>
          <w:bCs/>
          <w:sz w:val="28"/>
          <w:szCs w:val="28"/>
        </w:rPr>
        <w:t>Hydroxychloroquine in patients with mainly mild to moderate coronavirus disease 2019: open label, randomised controlled trial</w:t>
      </w:r>
      <w:r>
        <w:rPr>
          <w:rFonts w:cs="Arial"/>
          <w:b/>
          <w:bCs/>
          <w:sz w:val="28"/>
          <w:szCs w:val="28"/>
        </w:rPr>
        <w:t>.</w:t>
      </w:r>
    </w:p>
    <w:p w14:paraId="1613840F" w14:textId="5BC641BA" w:rsidR="001430D0" w:rsidRDefault="001430D0" w:rsidP="001430D0">
      <w:pPr>
        <w:jc w:val="center"/>
        <w:rPr>
          <w:rFonts w:cs="Arial"/>
          <w:lang w:val="da-DK"/>
        </w:rPr>
      </w:pPr>
      <w:r w:rsidRPr="001430D0">
        <w:rPr>
          <w:rFonts w:cs="Arial"/>
          <w:lang w:val="da-DK"/>
        </w:rPr>
        <w:t xml:space="preserve">W. </w:t>
      </w:r>
      <w:r w:rsidRPr="001430D0">
        <w:rPr>
          <w:rFonts w:cs="Arial"/>
          <w:lang w:val="da-DK"/>
        </w:rPr>
        <w:t xml:space="preserve">Tang, </w:t>
      </w:r>
      <w:r w:rsidRPr="001430D0">
        <w:rPr>
          <w:rFonts w:cs="Arial"/>
          <w:lang w:val="da-DK"/>
        </w:rPr>
        <w:t xml:space="preserve">Z. </w:t>
      </w:r>
      <w:r w:rsidRPr="001430D0">
        <w:rPr>
          <w:rFonts w:cs="Arial"/>
          <w:lang w:val="da-DK"/>
        </w:rPr>
        <w:t xml:space="preserve">Cao, </w:t>
      </w:r>
      <w:r w:rsidRPr="001430D0">
        <w:rPr>
          <w:rFonts w:cs="Arial"/>
          <w:lang w:val="da-DK"/>
        </w:rPr>
        <w:t xml:space="preserve">M. </w:t>
      </w:r>
      <w:r w:rsidRPr="001430D0">
        <w:rPr>
          <w:rFonts w:cs="Arial"/>
          <w:lang w:val="da-DK"/>
        </w:rPr>
        <w:t>Han</w:t>
      </w:r>
      <w:r w:rsidRPr="001430D0">
        <w:rPr>
          <w:rFonts w:cs="Arial"/>
          <w:lang w:val="da-DK"/>
        </w:rPr>
        <w:t xml:space="preserve"> </w:t>
      </w:r>
      <w:r w:rsidRPr="001430D0">
        <w:rPr>
          <w:rFonts w:cs="Arial"/>
          <w:i/>
          <w:iCs/>
          <w:lang w:val="da-DK"/>
        </w:rPr>
        <w:t>et al</w:t>
      </w:r>
      <w:r>
        <w:rPr>
          <w:rFonts w:cs="Arial"/>
          <w:i/>
          <w:iCs/>
          <w:lang w:val="da-DK"/>
        </w:rPr>
        <w:t>.</w:t>
      </w:r>
      <w:r>
        <w:rPr>
          <w:rFonts w:cs="Arial"/>
          <w:lang w:val="da-DK"/>
        </w:rPr>
        <w:t xml:space="preserve"> </w:t>
      </w:r>
      <w:r w:rsidRPr="001430D0">
        <w:rPr>
          <w:rFonts w:cs="Arial"/>
          <w:lang w:val="da-DK"/>
        </w:rPr>
        <w:t xml:space="preserve">BMJ </w:t>
      </w:r>
      <w:r>
        <w:rPr>
          <w:rFonts w:cs="Arial"/>
          <w:lang w:val="da-DK"/>
        </w:rPr>
        <w:t>(</w:t>
      </w:r>
      <w:r w:rsidRPr="001430D0">
        <w:rPr>
          <w:rFonts w:cs="Arial"/>
          <w:lang w:val="da-DK"/>
        </w:rPr>
        <w:t>2020</w:t>
      </w:r>
      <w:r>
        <w:rPr>
          <w:rFonts w:cs="Arial"/>
          <w:lang w:val="da-DK"/>
        </w:rPr>
        <w:t>)</w:t>
      </w:r>
      <w:r w:rsidRPr="001430D0">
        <w:rPr>
          <w:rFonts w:cs="Arial"/>
          <w:lang w:val="da-DK"/>
        </w:rPr>
        <w:t>; 369 :m1849 doi:10.1136/bmj.m1849</w:t>
      </w:r>
    </w:p>
    <w:p w14:paraId="5FD46C83" w14:textId="7353C5AA" w:rsidR="003F5C83" w:rsidRDefault="003F5C83" w:rsidP="001430D0">
      <w:pPr>
        <w:jc w:val="center"/>
        <w:rPr>
          <w:rFonts w:cs="Arial"/>
          <w:lang w:val="da-DK"/>
        </w:rPr>
      </w:pPr>
    </w:p>
    <w:p w14:paraId="6FD2F00F" w14:textId="296DAA07" w:rsidR="003F5C83" w:rsidRPr="003F5C83" w:rsidRDefault="003F5C83" w:rsidP="001430D0">
      <w:pPr>
        <w:jc w:val="center"/>
        <w:rPr>
          <w:rFonts w:cs="Arial"/>
          <w:b/>
          <w:bCs/>
          <w:lang w:val="da-DK"/>
        </w:rPr>
      </w:pPr>
      <w:r w:rsidRPr="003F5C83">
        <w:rPr>
          <w:rFonts w:cs="Arial"/>
          <w:b/>
          <w:bCs/>
          <w:lang w:val="da-DK"/>
        </w:rPr>
        <w:t xml:space="preserve">Analysis by: Ellen </w:t>
      </w:r>
      <w:proofErr w:type="spellStart"/>
      <w:r w:rsidRPr="003F5C83">
        <w:rPr>
          <w:rFonts w:cs="Arial"/>
          <w:b/>
          <w:bCs/>
          <w:lang w:val="da-DK"/>
        </w:rPr>
        <w:t>Rhodes</w:t>
      </w:r>
      <w:proofErr w:type="spellEnd"/>
    </w:p>
    <w:p w14:paraId="1DAABEEA" w14:textId="3A6AD7F9" w:rsidR="001430D0" w:rsidRDefault="001430D0" w:rsidP="001430D0">
      <w:pPr>
        <w:jc w:val="center"/>
        <w:rPr>
          <w:rFonts w:cs="Arial"/>
          <w:lang w:val="da-DK"/>
        </w:rPr>
      </w:pPr>
    </w:p>
    <w:p w14:paraId="5164E325" w14:textId="77777777" w:rsidR="008B0A17" w:rsidRPr="008B0A17" w:rsidRDefault="008B0A17" w:rsidP="008B0A17">
      <w:pPr>
        <w:spacing w:before="240" w:after="240"/>
        <w:contextualSpacing/>
        <w:rPr>
          <w:b/>
          <w:color w:val="7030A0"/>
          <w:sz w:val="28"/>
          <w:szCs w:val="28"/>
        </w:rPr>
      </w:pPr>
      <w:r w:rsidRPr="008B0A17">
        <w:rPr>
          <w:b/>
          <w:color w:val="7030A0"/>
          <w:sz w:val="28"/>
          <w:szCs w:val="28"/>
        </w:rPr>
        <w:t>Type of study</w:t>
      </w:r>
    </w:p>
    <w:p w14:paraId="30532993" w14:textId="5ED28417" w:rsidR="008B0A17" w:rsidRDefault="008B0A17" w:rsidP="008B0A17">
      <w:pPr>
        <w:spacing w:before="240" w:after="240"/>
        <w:contextualSpacing/>
        <w:rPr>
          <w:b/>
          <w:color w:val="7030A0"/>
        </w:rPr>
      </w:pPr>
      <w:r>
        <w:t>Randomised control study</w:t>
      </w:r>
    </w:p>
    <w:p w14:paraId="4D225B65" w14:textId="77777777" w:rsidR="00787B5C" w:rsidRPr="00787B5C" w:rsidRDefault="00787B5C" w:rsidP="008B0A17">
      <w:pPr>
        <w:spacing w:before="240" w:after="240"/>
        <w:contextualSpacing/>
        <w:rPr>
          <w:b/>
          <w:color w:val="7030A0"/>
        </w:rPr>
      </w:pPr>
    </w:p>
    <w:p w14:paraId="73DE1B1A" w14:textId="08153306" w:rsidR="008B0A17" w:rsidRPr="008B0A17" w:rsidRDefault="008B0A17" w:rsidP="000406D9">
      <w:pPr>
        <w:spacing w:before="240" w:after="240"/>
        <w:contextualSpacing/>
        <w:rPr>
          <w:b/>
          <w:color w:val="7030A0"/>
          <w:sz w:val="28"/>
          <w:szCs w:val="28"/>
        </w:rPr>
      </w:pPr>
      <w:r w:rsidRPr="008B0A17">
        <w:rPr>
          <w:b/>
          <w:color w:val="7030A0"/>
          <w:sz w:val="28"/>
          <w:szCs w:val="28"/>
        </w:rPr>
        <w:t>Population</w:t>
      </w:r>
    </w:p>
    <w:p w14:paraId="515FCD20" w14:textId="144EA762" w:rsidR="008B0A17" w:rsidRDefault="008B0A17" w:rsidP="000406D9">
      <w:pPr>
        <w:spacing w:before="240" w:after="240"/>
        <w:contextualSpacing/>
      </w:pPr>
      <w:r>
        <w:t>150 patients admitted to hospital with lab-confirmed COVID-19</w:t>
      </w:r>
      <w:r>
        <w:t>. The m</w:t>
      </w:r>
      <w:r>
        <w:t xml:space="preserve">ean age </w:t>
      </w:r>
      <w:r>
        <w:t xml:space="preserve">was </w:t>
      </w:r>
      <w:r>
        <w:t>46 years</w:t>
      </w:r>
      <w:r>
        <w:t>, 55% were male.</w:t>
      </w:r>
    </w:p>
    <w:p w14:paraId="28781B7E" w14:textId="77777777" w:rsidR="000406D9" w:rsidRDefault="000406D9" w:rsidP="000406D9">
      <w:pPr>
        <w:spacing w:before="240" w:after="240"/>
        <w:contextualSpacing/>
      </w:pPr>
    </w:p>
    <w:p w14:paraId="20C1AAF7" w14:textId="77777777" w:rsidR="008B0A17" w:rsidRPr="008B0A17" w:rsidRDefault="008B0A17" w:rsidP="000406D9">
      <w:pPr>
        <w:spacing w:before="240" w:after="240"/>
        <w:contextualSpacing/>
        <w:rPr>
          <w:b/>
          <w:color w:val="7030A0"/>
          <w:sz w:val="28"/>
          <w:szCs w:val="28"/>
        </w:rPr>
      </w:pPr>
      <w:r w:rsidRPr="008B0A17">
        <w:rPr>
          <w:b/>
          <w:color w:val="7030A0"/>
          <w:sz w:val="28"/>
          <w:szCs w:val="28"/>
        </w:rPr>
        <w:t>Intervention</w:t>
      </w:r>
    </w:p>
    <w:p w14:paraId="68097EF7" w14:textId="22C36FCA" w:rsidR="008B0A17" w:rsidRDefault="008B0A17" w:rsidP="000406D9">
      <w:pPr>
        <w:spacing w:before="240" w:after="240"/>
        <w:contextualSpacing/>
      </w:pPr>
      <w:r>
        <w:t>Hydroxychloroquine administered at a loading dose of 1200mg daily for 3 days followed by a maintenance dose of 800mg daily</w:t>
      </w:r>
      <w:r>
        <w:t>, given i</w:t>
      </w:r>
      <w:r>
        <w:t>n combination with regular standard of care</w:t>
      </w:r>
      <w:r>
        <w:t>.</w:t>
      </w:r>
    </w:p>
    <w:p w14:paraId="3EA46902" w14:textId="77777777" w:rsidR="000406D9" w:rsidRDefault="000406D9" w:rsidP="000406D9">
      <w:pPr>
        <w:spacing w:before="240" w:after="240"/>
        <w:contextualSpacing/>
      </w:pPr>
    </w:p>
    <w:p w14:paraId="7AE303D8" w14:textId="77777777" w:rsidR="000406D9" w:rsidRPr="000406D9" w:rsidRDefault="008B0A17" w:rsidP="000406D9">
      <w:pPr>
        <w:spacing w:before="240" w:after="240"/>
        <w:contextualSpacing/>
        <w:rPr>
          <w:b/>
          <w:color w:val="7030A0"/>
          <w:sz w:val="28"/>
          <w:szCs w:val="28"/>
        </w:rPr>
      </w:pPr>
      <w:r w:rsidRPr="000406D9">
        <w:rPr>
          <w:b/>
          <w:color w:val="7030A0"/>
          <w:sz w:val="28"/>
          <w:szCs w:val="28"/>
        </w:rPr>
        <w:t>Control</w:t>
      </w:r>
    </w:p>
    <w:p w14:paraId="7C158803" w14:textId="3C83B3B4" w:rsidR="008B0A17" w:rsidRDefault="008B0A17" w:rsidP="000406D9">
      <w:pPr>
        <w:spacing w:before="240" w:after="240"/>
        <w:contextualSpacing/>
      </w:pPr>
      <w:r>
        <w:t>No placebo was used</w:t>
      </w:r>
      <w:r w:rsidR="000406D9">
        <w:t>, compared to the s</w:t>
      </w:r>
      <w:r>
        <w:t>tandard of care alone</w:t>
      </w:r>
      <w:r w:rsidR="000406D9">
        <w:t xml:space="preserve">. </w:t>
      </w:r>
      <w:r>
        <w:t xml:space="preserve">1:1 ratio for </w:t>
      </w:r>
      <w:proofErr w:type="spellStart"/>
      <w:r>
        <w:t>control:intervention</w:t>
      </w:r>
      <w:proofErr w:type="spellEnd"/>
      <w:r w:rsidR="000406D9">
        <w:t xml:space="preserve">. </w:t>
      </w:r>
    </w:p>
    <w:p w14:paraId="042BD9C7" w14:textId="77777777" w:rsidR="000265F3" w:rsidRDefault="000265F3" w:rsidP="000406D9">
      <w:pPr>
        <w:spacing w:before="240" w:after="240"/>
        <w:contextualSpacing/>
      </w:pPr>
    </w:p>
    <w:p w14:paraId="28050957" w14:textId="77777777" w:rsidR="008B0A17" w:rsidRPr="0016713E" w:rsidRDefault="008B0A17" w:rsidP="000406D9">
      <w:pPr>
        <w:spacing w:before="240" w:after="240"/>
        <w:contextualSpacing/>
        <w:rPr>
          <w:b/>
          <w:color w:val="7030A0"/>
          <w:sz w:val="28"/>
          <w:szCs w:val="28"/>
        </w:rPr>
      </w:pPr>
      <w:r w:rsidRPr="0016713E">
        <w:rPr>
          <w:b/>
          <w:color w:val="7030A0"/>
          <w:sz w:val="28"/>
          <w:szCs w:val="28"/>
        </w:rPr>
        <w:t>Core parameters</w:t>
      </w:r>
    </w:p>
    <w:p w14:paraId="64440A52" w14:textId="77777777" w:rsidR="008B0A17" w:rsidRDefault="008B0A17" w:rsidP="000406D9">
      <w:pPr>
        <w:widowControl w:val="0"/>
        <w:contextualSpacing/>
      </w:pPr>
      <w:r>
        <w:t>Comparing the efficacy and safety of hydroxychloroquine plus standard of care compared with standard of care alone in adults with covid-19</w:t>
      </w:r>
    </w:p>
    <w:p w14:paraId="214CE314" w14:textId="77777777" w:rsidR="008B0A17" w:rsidRDefault="008B0A17" w:rsidP="000406D9">
      <w:pPr>
        <w:widowControl w:val="0"/>
        <w:contextualSpacing/>
      </w:pPr>
    </w:p>
    <w:p w14:paraId="1DB03056" w14:textId="77777777" w:rsidR="008B0A17" w:rsidRPr="0016713E" w:rsidRDefault="008B0A17" w:rsidP="000406D9">
      <w:pPr>
        <w:widowControl w:val="0"/>
        <w:contextualSpacing/>
        <w:rPr>
          <w:b/>
          <w:color w:val="7030A0"/>
          <w:sz w:val="28"/>
          <w:szCs w:val="28"/>
        </w:rPr>
      </w:pPr>
      <w:r w:rsidRPr="0016713E">
        <w:rPr>
          <w:b/>
          <w:color w:val="7030A0"/>
          <w:sz w:val="28"/>
          <w:szCs w:val="28"/>
        </w:rPr>
        <w:t>Primary outcomes</w:t>
      </w:r>
    </w:p>
    <w:p w14:paraId="76ECFF6E" w14:textId="77777777" w:rsidR="008B0A17" w:rsidRDefault="008B0A17" w:rsidP="000406D9">
      <w:pPr>
        <w:widowControl w:val="0"/>
        <w:contextualSpacing/>
      </w:pPr>
      <w:r>
        <w:t>Probability of negative seroconversion of covid-19 by 28 days was similar in both groups</w:t>
      </w:r>
    </w:p>
    <w:p w14:paraId="7D100E27" w14:textId="77777777" w:rsidR="008B0A17" w:rsidRDefault="008B0A17" w:rsidP="000406D9">
      <w:pPr>
        <w:widowControl w:val="0"/>
        <w:ind w:firstLine="720"/>
        <w:contextualSpacing/>
      </w:pPr>
      <w:r>
        <w:t xml:space="preserve">-Standard of care plus hydroxychloroquine </w:t>
      </w:r>
    </w:p>
    <w:p w14:paraId="6BFBDD49" w14:textId="77777777" w:rsidR="008B0A17" w:rsidRDefault="008B0A17" w:rsidP="000406D9">
      <w:pPr>
        <w:widowControl w:val="0"/>
        <w:ind w:firstLine="720"/>
        <w:contextualSpacing/>
      </w:pPr>
      <w:r>
        <w:t>85.4% (95% confidence interval 73.8% to 93.8%)</w:t>
      </w:r>
    </w:p>
    <w:p w14:paraId="386521BF" w14:textId="77777777" w:rsidR="008B0A17" w:rsidRDefault="008B0A17" w:rsidP="000406D9">
      <w:pPr>
        <w:widowControl w:val="0"/>
        <w:ind w:firstLine="720"/>
        <w:contextualSpacing/>
      </w:pPr>
      <w:r>
        <w:t>-Standard of care alone</w:t>
      </w:r>
    </w:p>
    <w:p w14:paraId="1ACC6957" w14:textId="77777777" w:rsidR="008B0A17" w:rsidRDefault="008B0A17" w:rsidP="000406D9">
      <w:pPr>
        <w:widowControl w:val="0"/>
        <w:ind w:firstLine="720"/>
        <w:contextualSpacing/>
      </w:pPr>
      <w:r>
        <w:lastRenderedPageBreak/>
        <w:t>81.3% (95% confidence interval 71.2% to 89.6%)</w:t>
      </w:r>
    </w:p>
    <w:p w14:paraId="2EF1F6FD" w14:textId="77777777" w:rsidR="008B0A17" w:rsidRDefault="008B0A17" w:rsidP="000406D9">
      <w:pPr>
        <w:widowControl w:val="0"/>
        <w:contextualSpacing/>
      </w:pPr>
    </w:p>
    <w:p w14:paraId="139D0D39" w14:textId="77777777" w:rsidR="008B0A17" w:rsidRDefault="008B0A17" w:rsidP="000406D9">
      <w:pPr>
        <w:widowControl w:val="0"/>
        <w:contextualSpacing/>
      </w:pPr>
      <w:r>
        <w:t xml:space="preserve">Difference in probability of negative conversion between standard of care plus hydroxychloroquine and standard of care alone was </w:t>
      </w:r>
    </w:p>
    <w:p w14:paraId="0B10F7DC" w14:textId="77777777" w:rsidR="008B0A17" w:rsidRDefault="008B0A17" w:rsidP="000406D9">
      <w:pPr>
        <w:widowControl w:val="0"/>
        <w:contextualSpacing/>
      </w:pPr>
      <w:r>
        <w:t>4.1% (95% confidence interval -10.3% to 18.5%)</w:t>
      </w:r>
    </w:p>
    <w:p w14:paraId="25017696" w14:textId="77777777" w:rsidR="008B0A17" w:rsidRDefault="008B0A17" w:rsidP="000406D9">
      <w:pPr>
        <w:widowControl w:val="0"/>
        <w:contextualSpacing/>
      </w:pPr>
    </w:p>
    <w:p w14:paraId="442F0CCB" w14:textId="77777777" w:rsidR="008B0A17" w:rsidRDefault="008B0A17" w:rsidP="000406D9">
      <w:pPr>
        <w:widowControl w:val="0"/>
        <w:contextualSpacing/>
      </w:pPr>
      <w:r>
        <w:t>Median time to negative seroconversion was also similar (hazard ratio 0.85, 95% CI 0.58-1.23; p value 0.34)</w:t>
      </w:r>
    </w:p>
    <w:p w14:paraId="5C0A9957" w14:textId="77777777" w:rsidR="008B0A17" w:rsidRDefault="008B0A17" w:rsidP="000406D9">
      <w:pPr>
        <w:widowControl w:val="0"/>
        <w:ind w:firstLine="720"/>
        <w:contextualSpacing/>
      </w:pPr>
      <w:r>
        <w:t xml:space="preserve">-Standard of care plus hydroxychloroquine group </w:t>
      </w:r>
    </w:p>
    <w:p w14:paraId="1DA99764" w14:textId="77777777" w:rsidR="008B0A17" w:rsidRDefault="008B0A17" w:rsidP="000406D9">
      <w:pPr>
        <w:widowControl w:val="0"/>
        <w:ind w:firstLine="720"/>
        <w:contextualSpacing/>
      </w:pPr>
      <w:r>
        <w:t>8 (95% CI 5 to 10 days)</w:t>
      </w:r>
    </w:p>
    <w:p w14:paraId="0E21A9AD" w14:textId="77777777" w:rsidR="008B0A17" w:rsidRDefault="008B0A17" w:rsidP="000406D9">
      <w:pPr>
        <w:widowControl w:val="0"/>
        <w:ind w:firstLine="720"/>
        <w:contextualSpacing/>
      </w:pPr>
      <w:r>
        <w:t>-Standard of care alone</w:t>
      </w:r>
    </w:p>
    <w:p w14:paraId="3C771D3A" w14:textId="77777777" w:rsidR="008B0A17" w:rsidRDefault="008B0A17" w:rsidP="000406D9">
      <w:pPr>
        <w:widowControl w:val="0"/>
        <w:ind w:firstLine="720"/>
        <w:contextualSpacing/>
        <w:rPr>
          <w:b/>
        </w:rPr>
      </w:pPr>
      <w:r>
        <w:t>7 (95% CI 5 to 8 days</w:t>
      </w:r>
      <w:r>
        <w:rPr>
          <w:b/>
        </w:rPr>
        <w:t>)</w:t>
      </w:r>
    </w:p>
    <w:p w14:paraId="40A90992" w14:textId="77777777" w:rsidR="008B0A17" w:rsidRDefault="008B0A17" w:rsidP="000406D9">
      <w:pPr>
        <w:widowControl w:val="0"/>
        <w:ind w:firstLine="720"/>
        <w:contextualSpacing/>
        <w:rPr>
          <w:b/>
        </w:rPr>
      </w:pPr>
    </w:p>
    <w:p w14:paraId="2FE0F52A" w14:textId="77777777" w:rsidR="008B0A17" w:rsidRPr="0016713E" w:rsidRDefault="008B0A17" w:rsidP="000406D9">
      <w:pPr>
        <w:widowControl w:val="0"/>
        <w:contextualSpacing/>
        <w:rPr>
          <w:b/>
          <w:color w:val="7030A0"/>
          <w:sz w:val="28"/>
          <w:szCs w:val="28"/>
        </w:rPr>
      </w:pPr>
      <w:r w:rsidRPr="0016713E">
        <w:rPr>
          <w:b/>
          <w:color w:val="7030A0"/>
          <w:sz w:val="28"/>
          <w:szCs w:val="28"/>
        </w:rPr>
        <w:t>Secondary Outcomes</w:t>
      </w:r>
    </w:p>
    <w:p w14:paraId="3EF06B2B" w14:textId="77777777" w:rsidR="008B0A17" w:rsidRDefault="008B0A17" w:rsidP="000406D9">
      <w:pPr>
        <w:widowControl w:val="0"/>
        <w:contextualSpacing/>
      </w:pPr>
      <w:r>
        <w:t>Probability of alleviation of symptoms by 28 days was similar in both groups</w:t>
      </w:r>
    </w:p>
    <w:p w14:paraId="284C3600" w14:textId="77777777" w:rsidR="008B0A17" w:rsidRDefault="008B0A17" w:rsidP="000406D9">
      <w:pPr>
        <w:widowControl w:val="0"/>
        <w:ind w:firstLine="720"/>
        <w:contextualSpacing/>
      </w:pPr>
      <w:r>
        <w:t>-Standard of care plus hydroxychloroquine</w:t>
      </w:r>
    </w:p>
    <w:p w14:paraId="0EC06EA0" w14:textId="77777777" w:rsidR="008B0A17" w:rsidRDefault="008B0A17" w:rsidP="000406D9">
      <w:pPr>
        <w:widowControl w:val="0"/>
        <w:ind w:firstLine="720"/>
        <w:contextualSpacing/>
      </w:pPr>
      <w:r>
        <w:t>59.9% (95% CI 45.0% to 75.3%)</w:t>
      </w:r>
    </w:p>
    <w:p w14:paraId="0760B4B0" w14:textId="77777777" w:rsidR="008B0A17" w:rsidRDefault="008B0A17" w:rsidP="000406D9">
      <w:pPr>
        <w:widowControl w:val="0"/>
        <w:ind w:firstLine="720"/>
        <w:contextualSpacing/>
      </w:pPr>
      <w:r>
        <w:t>-Standard of care alone</w:t>
      </w:r>
    </w:p>
    <w:p w14:paraId="24007F22" w14:textId="77777777" w:rsidR="008B0A17" w:rsidRDefault="008B0A17" w:rsidP="000406D9">
      <w:pPr>
        <w:widowControl w:val="0"/>
        <w:ind w:firstLine="720"/>
        <w:contextualSpacing/>
      </w:pPr>
      <w:r>
        <w:t>66.6% (95% CI 39.5% to 90.0%)</w:t>
      </w:r>
    </w:p>
    <w:p w14:paraId="421A01DC" w14:textId="77777777" w:rsidR="008B0A17" w:rsidRDefault="008B0A17" w:rsidP="000406D9">
      <w:pPr>
        <w:widowControl w:val="0"/>
        <w:contextualSpacing/>
      </w:pPr>
    </w:p>
    <w:p w14:paraId="7AC62BD6" w14:textId="77777777" w:rsidR="008B0A17" w:rsidRDefault="008B0A17" w:rsidP="000406D9">
      <w:pPr>
        <w:widowControl w:val="0"/>
        <w:contextualSpacing/>
      </w:pPr>
      <w:r>
        <w:t>Difference between groups with regards to alleviation of symptoms by 28 days</w:t>
      </w:r>
    </w:p>
    <w:p w14:paraId="1F8CA58F" w14:textId="77777777" w:rsidR="008B0A17" w:rsidRDefault="008B0A17" w:rsidP="000406D9">
      <w:pPr>
        <w:widowControl w:val="0"/>
        <w:contextualSpacing/>
      </w:pPr>
      <w:r>
        <w:t>-6.6% (CI 95% -41.3% to 28.0%)</w:t>
      </w:r>
    </w:p>
    <w:p w14:paraId="71B81951" w14:textId="77777777" w:rsidR="008B0A17" w:rsidRDefault="008B0A17" w:rsidP="000406D9">
      <w:pPr>
        <w:widowControl w:val="0"/>
        <w:contextualSpacing/>
      </w:pPr>
    </w:p>
    <w:p w14:paraId="3EB0255F" w14:textId="77777777" w:rsidR="008B0A17" w:rsidRDefault="008B0A17" w:rsidP="000406D9">
      <w:pPr>
        <w:widowControl w:val="0"/>
        <w:contextualSpacing/>
      </w:pPr>
      <w:r>
        <w:t>Median time to alleviation of clinical symptoms similar in each group</w:t>
      </w:r>
    </w:p>
    <w:p w14:paraId="06968B8D" w14:textId="77777777" w:rsidR="008B0A17" w:rsidRDefault="008B0A17" w:rsidP="000406D9">
      <w:pPr>
        <w:widowControl w:val="0"/>
        <w:contextualSpacing/>
      </w:pPr>
      <w:r>
        <w:t>19 vs 21 days (hazard ratio 1.01, 0.59 to 1.74; P = 0.97, by log rank test)</w:t>
      </w:r>
    </w:p>
    <w:p w14:paraId="58745220" w14:textId="77777777" w:rsidR="008B0A17" w:rsidRDefault="008B0A17" w:rsidP="000406D9">
      <w:pPr>
        <w:widowControl w:val="0"/>
        <w:contextualSpacing/>
        <w:rPr>
          <w:b/>
        </w:rPr>
      </w:pPr>
    </w:p>
    <w:p w14:paraId="017F6E6B" w14:textId="77777777" w:rsidR="008B0A17" w:rsidRDefault="008B0A17" w:rsidP="000406D9">
      <w:pPr>
        <w:widowControl w:val="0"/>
        <w:contextualSpacing/>
      </w:pPr>
    </w:p>
    <w:p w14:paraId="10BBBBB7" w14:textId="3A1D1880" w:rsidR="008B0A17" w:rsidRDefault="008B0A17" w:rsidP="000406D9">
      <w:pPr>
        <w:spacing w:before="240" w:after="240"/>
        <w:contextualSpacing/>
      </w:pPr>
      <w:r w:rsidRPr="0016713E">
        <w:rPr>
          <w:b/>
          <w:color w:val="7030A0"/>
          <w:sz w:val="28"/>
          <w:szCs w:val="28"/>
        </w:rPr>
        <w:t xml:space="preserve">Internal validity </w:t>
      </w:r>
    </w:p>
    <w:p w14:paraId="0D1D21D8" w14:textId="0923CFE2" w:rsidR="008B0A17" w:rsidRDefault="008B0A17" w:rsidP="0016713E">
      <w:pPr>
        <w:widowControl w:val="0"/>
        <w:contextualSpacing/>
      </w:pPr>
      <w:r w:rsidRPr="0016713E">
        <w:rPr>
          <w:b/>
          <w:bCs/>
          <w:color w:val="7030A0"/>
        </w:rPr>
        <w:t>Study design</w:t>
      </w:r>
      <w:r>
        <w:br/>
        <w:t>Randomised controlled trial - high up on hierarchy of evidence</w:t>
      </w:r>
      <w:r w:rsidR="0016713E">
        <w:t xml:space="preserve">. </w:t>
      </w:r>
      <w:r>
        <w:t>Results reported in accordance with CONSORT (Consolidated Standards of Reporting Trials) guidelines</w:t>
      </w:r>
      <w:r w:rsidR="0016713E">
        <w:t>.</w:t>
      </w:r>
    </w:p>
    <w:p w14:paraId="31A80997" w14:textId="30F08B6B" w:rsidR="008B0A17" w:rsidRDefault="008B0A17" w:rsidP="0016713E">
      <w:pPr>
        <w:widowControl w:val="0"/>
        <w:contextualSpacing/>
      </w:pPr>
      <w:r w:rsidRPr="0016713E">
        <w:rPr>
          <w:b/>
          <w:bCs/>
          <w:color w:val="7030A0"/>
        </w:rPr>
        <w:t>Population</w:t>
      </w:r>
      <w:r>
        <w:br/>
        <w:t xml:space="preserve">Sample size - 150 patients in trial total (75:75 </w:t>
      </w:r>
      <w:proofErr w:type="spellStart"/>
      <w:proofErr w:type="gramStart"/>
      <w:r>
        <w:t>control:intervention</w:t>
      </w:r>
      <w:proofErr w:type="spellEnd"/>
      <w:proofErr w:type="gramEnd"/>
      <w:r>
        <w:t>). Look at the statistical power (the probability that the test correctly rejects the null hypothesis). and later stated ‘our main prespecified outcomes are not entirely conclusive, being based on an underpowered sample size due to the lack of enough eligible patients to enrol.’ - difficulty enrolling when there were so many clinical trials at the same time and the increased success in reducing case numbers in China in March</w:t>
      </w:r>
      <w:r w:rsidR="0016713E">
        <w:t>.</w:t>
      </w:r>
      <w:r>
        <w:br/>
        <w:t>‘The rapid decline in eligible new cases of covid-19 in China [at the time of interim analysis on 14th March] precluded recruitment of our targeted number of patients.’</w:t>
      </w:r>
      <w:r>
        <w:br/>
        <w:t>Multicentre (16 government designated covid-19 treatment centres in 3 provinces)</w:t>
      </w:r>
      <w:r w:rsidR="0016713E">
        <w:t xml:space="preserve">. </w:t>
      </w:r>
      <w:r>
        <w:t>Applied stratified random sampling to stratify all patients according to disease severity (mild/moderate or severe - definitions stated in the paper, according to Chinese guidelines on covd-19, 5th version)</w:t>
      </w:r>
      <w:r w:rsidR="0016713E">
        <w:t>.</w:t>
      </w:r>
    </w:p>
    <w:p w14:paraId="1684A4D6" w14:textId="77777777" w:rsidR="008B0A17" w:rsidRPr="003B62C5" w:rsidRDefault="008B0A17" w:rsidP="003B62C5">
      <w:pPr>
        <w:widowControl w:val="0"/>
        <w:contextualSpacing/>
        <w:rPr>
          <w:b/>
          <w:bCs/>
          <w:color w:val="7030A0"/>
        </w:rPr>
      </w:pPr>
      <w:r w:rsidRPr="003B62C5">
        <w:rPr>
          <w:b/>
          <w:bCs/>
          <w:color w:val="7030A0"/>
        </w:rPr>
        <w:t>Intervention</w:t>
      </w:r>
    </w:p>
    <w:p w14:paraId="22DC230B" w14:textId="19AA9C0E" w:rsidR="008B0A17" w:rsidRDefault="008B0A17" w:rsidP="003B62C5">
      <w:pPr>
        <w:widowControl w:val="0"/>
        <w:contextualSpacing/>
      </w:pPr>
      <w:r>
        <w:t xml:space="preserve">This was an ‘open label’ trial, which means there was no blinding and no </w:t>
      </w:r>
      <w:r>
        <w:lastRenderedPageBreak/>
        <w:t>information was withheld from patients</w:t>
      </w:r>
      <w:r w:rsidR="003B62C5">
        <w:t xml:space="preserve">. </w:t>
      </w:r>
      <w:r>
        <w:t>Investigators and statisticians were also not blinded to the assigned treatment</w:t>
      </w:r>
      <w:r w:rsidR="003B62C5">
        <w:t xml:space="preserve">. </w:t>
      </w:r>
      <w:r>
        <w:t>Lab technicians assessing virological, chemical and other routine measurements were unaware of treatment info</w:t>
      </w:r>
      <w:r w:rsidR="003B62C5">
        <w:t xml:space="preserve">. </w:t>
      </w:r>
      <w:r>
        <w:t xml:space="preserve">Dose of HXYC adjusted when adverse events related to the medication </w:t>
      </w:r>
      <w:r w:rsidR="003B62C5">
        <w:t>occurred</w:t>
      </w:r>
      <w:r>
        <w:t>, judged by investigators</w:t>
      </w:r>
      <w:r w:rsidR="003B62C5">
        <w:t>.</w:t>
      </w:r>
    </w:p>
    <w:p w14:paraId="723911AB" w14:textId="342EE762" w:rsidR="008B0A17" w:rsidRDefault="00625F6D" w:rsidP="00625F6D">
      <w:pPr>
        <w:widowControl w:val="0"/>
        <w:contextualSpacing/>
      </w:pPr>
      <w:r>
        <w:t>I</w:t>
      </w:r>
      <w:r w:rsidR="008B0A17">
        <w:t xml:space="preserve">nclusion criteria: adults confirmed to have covid-19 based on PCR who were willing to participate and not </w:t>
      </w:r>
      <w:proofErr w:type="spellStart"/>
      <w:r w:rsidR="008B0A17">
        <w:t>enroll</w:t>
      </w:r>
      <w:proofErr w:type="spellEnd"/>
      <w:r w:rsidR="008B0A17">
        <w:t xml:space="preserve"> in other clinical trials</w:t>
      </w:r>
      <w:r>
        <w:t>.</w:t>
      </w:r>
    </w:p>
    <w:p w14:paraId="31796F48" w14:textId="5F81FFA2" w:rsidR="008B0A17" w:rsidRDefault="008B0A17" w:rsidP="00625F6D">
      <w:pPr>
        <w:widowControl w:val="0"/>
        <w:contextualSpacing/>
      </w:pPr>
      <w:r>
        <w:t>Exclusion criteria: &lt;18yo, severe conditions (e.g. malignancies, heart/liver/kidney disease or poorly controlled metabolic disease), pregnancy, lactation, unable to intake orally, allergy to HXYC, cognitive impairment, severe hepatic/renal impairment or any kind of dialysis. - 41 excluded taking 191 down to 150 sample size</w:t>
      </w:r>
      <w:r w:rsidR="00625F6D">
        <w:t xml:space="preserve">. </w:t>
      </w:r>
      <w:r>
        <w:t>Originally did not include severe covid-19 disease, but this was altered as it was suggested that HXYC may favour disease regression</w:t>
      </w:r>
      <w:r w:rsidR="00625F6D">
        <w:t>.</w:t>
      </w:r>
    </w:p>
    <w:p w14:paraId="5EE5D6EC" w14:textId="77777777" w:rsidR="00625F6D" w:rsidRDefault="008B0A17" w:rsidP="00625F6D">
      <w:pPr>
        <w:widowControl w:val="0"/>
        <w:contextualSpacing/>
      </w:pPr>
      <w:r w:rsidRPr="00625F6D">
        <w:rPr>
          <w:b/>
          <w:bCs/>
          <w:color w:val="7030A0"/>
        </w:rPr>
        <w:t>Main outcome measure</w:t>
      </w:r>
    </w:p>
    <w:p w14:paraId="1AAED8F4" w14:textId="52388F7F" w:rsidR="008B0A17" w:rsidRDefault="008B0A17" w:rsidP="00625F6D">
      <w:pPr>
        <w:widowControl w:val="0"/>
        <w:contextualSpacing/>
      </w:pPr>
      <w:r>
        <w:t>‘Negative conversion of severe acute respiratory syndrome coronavirus 2 by 28 days, analysed according to the intention to treat principle.’</w:t>
      </w:r>
    </w:p>
    <w:p w14:paraId="7C83DFEE" w14:textId="16D89B06" w:rsidR="008B0A17" w:rsidRDefault="008B0A17" w:rsidP="00625F6D">
      <w:pPr>
        <w:widowControl w:val="0"/>
        <w:contextualSpacing/>
      </w:pPr>
      <w:r>
        <w:t>’In the original protocol, the primary endpoint was prespecified as the “Negative conversion rate by Day 10” ...However, with the increasing knowledge of covid-19 from our clinical practice, we realised that the duration of SARS-CoV-2 in respiratory samples of many patients was longer than 10 days’’ - subsequently changed to 28 days</w:t>
      </w:r>
      <w:r w:rsidR="00625F6D">
        <w:t xml:space="preserve">. </w:t>
      </w:r>
      <w:r>
        <w:t>An independent data and safety monitoring committee (IDMC) periodically reviewed the progress and oversight of the study</w:t>
      </w:r>
      <w:r w:rsidR="00625F6D">
        <w:t>.</w:t>
      </w:r>
    </w:p>
    <w:p w14:paraId="6A32A545" w14:textId="2F1CF8F2" w:rsidR="008B0A17" w:rsidRDefault="008B0A17" w:rsidP="000406D9">
      <w:pPr>
        <w:widowControl w:val="0"/>
        <w:contextualSpacing/>
      </w:pPr>
      <w:r w:rsidRPr="00625F6D">
        <w:rPr>
          <w:b/>
          <w:bCs/>
          <w:color w:val="7030A0"/>
        </w:rPr>
        <w:t>Biases</w:t>
      </w:r>
      <w:r>
        <w:br/>
        <w:t>Did not use double blind (challenge to create convincing placebos in the pandemic)</w:t>
      </w:r>
      <w:r w:rsidR="00625F6D">
        <w:t xml:space="preserve">. </w:t>
      </w:r>
      <w:r>
        <w:t>No p</w:t>
      </w:r>
      <w:r w:rsidR="00625F6D">
        <w:t>a</w:t>
      </w:r>
      <w:r>
        <w:t>t</w:t>
      </w:r>
      <w:r w:rsidR="00625F6D">
        <w:t>ient</w:t>
      </w:r>
      <w:r>
        <w:t>s included in the early stage of disease</w:t>
      </w:r>
      <w:r w:rsidR="00625F6D">
        <w:t>.</w:t>
      </w:r>
    </w:p>
    <w:p w14:paraId="33FB32FD" w14:textId="78BEAA36" w:rsidR="008B0A17" w:rsidRPr="00625F6D" w:rsidRDefault="008B0A17" w:rsidP="000406D9">
      <w:pPr>
        <w:widowControl w:val="0"/>
        <w:contextualSpacing/>
        <w:rPr>
          <w:b/>
          <w:bCs/>
          <w:color w:val="7030A0"/>
        </w:rPr>
      </w:pPr>
      <w:r w:rsidRPr="00625F6D">
        <w:rPr>
          <w:b/>
          <w:bCs/>
          <w:color w:val="7030A0"/>
        </w:rPr>
        <w:t>Funding</w:t>
      </w:r>
    </w:p>
    <w:p w14:paraId="46DFF577" w14:textId="22452509" w:rsidR="008B0A17" w:rsidRDefault="008B0A17" w:rsidP="00625F6D">
      <w:pPr>
        <w:widowControl w:val="0"/>
        <w:contextualSpacing/>
      </w:pPr>
      <w:r>
        <w:t>‘Shanghai Pharmaceuticals Holding donated the investigated drug, hydroxychloroquine but was not involved in the study design, accrual, analyses of data, or preparation of the manuscript.’’</w:t>
      </w:r>
    </w:p>
    <w:p w14:paraId="18D8C31B" w14:textId="51AA86A9" w:rsidR="008B0A17" w:rsidRDefault="008B0A17" w:rsidP="00625F6D">
      <w:pPr>
        <w:widowControl w:val="0"/>
        <w:contextualSpacing/>
      </w:pPr>
      <w:r>
        <w:t xml:space="preserve">‘A contract research organisation, R&amp;G </w:t>
      </w:r>
      <w:proofErr w:type="spellStart"/>
      <w:r>
        <w:t>PharmaStudies</w:t>
      </w:r>
      <w:proofErr w:type="spellEnd"/>
      <w:r>
        <w:t>, was hired to assist in the study design, data collection and cleaning, and statistical analyses.’</w:t>
      </w:r>
    </w:p>
    <w:p w14:paraId="4EC1935D" w14:textId="41A53076" w:rsidR="008B0A17" w:rsidRPr="00625F6D" w:rsidRDefault="008B0A17" w:rsidP="000406D9">
      <w:pPr>
        <w:widowControl w:val="0"/>
        <w:contextualSpacing/>
        <w:rPr>
          <w:b/>
          <w:bCs/>
          <w:color w:val="7030A0"/>
        </w:rPr>
      </w:pPr>
      <w:r w:rsidRPr="00625F6D">
        <w:rPr>
          <w:b/>
          <w:bCs/>
          <w:color w:val="7030A0"/>
        </w:rPr>
        <w:t>Statistics</w:t>
      </w:r>
    </w:p>
    <w:p w14:paraId="733F253B" w14:textId="0486B0CC" w:rsidR="008B0A17" w:rsidRDefault="008B0A17" w:rsidP="000406D9">
      <w:pPr>
        <w:widowControl w:val="0"/>
        <w:contextualSpacing/>
      </w:pPr>
      <w:r>
        <w:t>Study results analysed on the basis of ‘intention to treat’ rather than ‘per</w:t>
      </w:r>
      <w:r w:rsidR="00625F6D">
        <w:t xml:space="preserve"> </w:t>
      </w:r>
      <w:r>
        <w:t>protocol’ - a preferred method to give the most reliable results</w:t>
      </w:r>
    </w:p>
    <w:p w14:paraId="58844F74" w14:textId="77777777" w:rsidR="008B0A17" w:rsidRDefault="008B0A17" w:rsidP="000406D9">
      <w:pPr>
        <w:widowControl w:val="0"/>
        <w:contextualSpacing/>
      </w:pPr>
    </w:p>
    <w:p w14:paraId="74885504" w14:textId="77777777" w:rsidR="008B0A17" w:rsidRPr="00625F6D" w:rsidRDefault="008B0A17" w:rsidP="000406D9">
      <w:pPr>
        <w:spacing w:before="240" w:after="240"/>
        <w:contextualSpacing/>
        <w:rPr>
          <w:b/>
          <w:color w:val="7030A0"/>
          <w:sz w:val="28"/>
          <w:szCs w:val="28"/>
        </w:rPr>
      </w:pPr>
      <w:r w:rsidRPr="00625F6D">
        <w:rPr>
          <w:b/>
          <w:color w:val="7030A0"/>
          <w:sz w:val="28"/>
          <w:szCs w:val="28"/>
        </w:rPr>
        <w:t>External validity</w:t>
      </w:r>
    </w:p>
    <w:p w14:paraId="2D325FC2" w14:textId="27E6AFDF" w:rsidR="008B0A17" w:rsidRDefault="008B0A17" w:rsidP="00625F6D">
      <w:pPr>
        <w:widowControl w:val="0"/>
        <w:contextualSpacing/>
      </w:pPr>
      <w:r w:rsidRPr="00625F6D">
        <w:rPr>
          <w:b/>
          <w:bCs/>
          <w:color w:val="7030A0"/>
        </w:rPr>
        <w:t>Safety</w:t>
      </w:r>
      <w:r>
        <w:br/>
        <w:t>’Between randomisation and the final visit, 21 (30%) patients in the standard of care plus hydroxychloroquine group reported adverse events, compared with 7 (9%) patients in the standard of care group’</w:t>
      </w:r>
      <w:r w:rsidR="00625F6D">
        <w:t>.</w:t>
      </w:r>
      <w:r>
        <w:br/>
        <w:t>No serious adverse events were reported in the standard of care group. Two patients in the hydroxychloroquine group reported serious adverse events due to disease progression and upper respiratory infection.’</w:t>
      </w:r>
      <w:r>
        <w:br/>
        <w:t>Most common side effect in standard of care plus HXYC: diarrhoea (in 7 (10%) of pts)</w:t>
      </w:r>
      <w:r w:rsidR="00625F6D">
        <w:t>.</w:t>
      </w:r>
      <w:r>
        <w:br/>
        <w:t xml:space="preserve">HXYC discontinued in one </w:t>
      </w:r>
      <w:proofErr w:type="spellStart"/>
      <w:r>
        <w:t>pt</w:t>
      </w:r>
      <w:proofErr w:type="spellEnd"/>
      <w:r>
        <w:t xml:space="preserve"> (blurred vision - </w:t>
      </w:r>
      <w:proofErr w:type="spellStart"/>
      <w:r>
        <w:t>occured</w:t>
      </w:r>
      <w:proofErr w:type="spellEnd"/>
      <w:r>
        <w:t xml:space="preserve"> for 1 to 2 days) and adjusted to a lower dose (reported thirst for 1 -2 days)</w:t>
      </w:r>
      <w:r w:rsidR="00625F6D">
        <w:t>.</w:t>
      </w:r>
      <w:r>
        <w:br/>
        <w:t>‘Early development of retinal damage with a daily dose of 800 to 1200 mg was detected using sensitive retinal screening tests’</w:t>
      </w:r>
      <w:r w:rsidR="00625F6D">
        <w:t>.</w:t>
      </w:r>
      <w:r>
        <w:br/>
      </w:r>
      <w:r>
        <w:lastRenderedPageBreak/>
        <w:t>‘</w:t>
      </w:r>
      <w:r w:rsidR="00625F6D">
        <w:t>P</w:t>
      </w:r>
      <w:r>
        <w:t>hysicians should be cautious about the increased risk of prolongation of the QT interval and fatal ventricular arrhythmia with azithromycin and other antimicrobial agents.’</w:t>
      </w:r>
    </w:p>
    <w:p w14:paraId="00905F23" w14:textId="77777777" w:rsidR="008B0A17" w:rsidRPr="00625F6D" w:rsidRDefault="008B0A17" w:rsidP="000406D9">
      <w:pPr>
        <w:spacing w:before="240" w:after="240"/>
        <w:contextualSpacing/>
        <w:rPr>
          <w:b/>
          <w:color w:val="7030A0"/>
        </w:rPr>
      </w:pPr>
      <w:r w:rsidRPr="00625F6D">
        <w:rPr>
          <w:b/>
          <w:color w:val="7030A0"/>
        </w:rPr>
        <w:t>Ethical considerations</w:t>
      </w:r>
    </w:p>
    <w:p w14:paraId="3D9E6408" w14:textId="77777777" w:rsidR="008B0A17" w:rsidRDefault="008B0A17" w:rsidP="000406D9">
      <w:pPr>
        <w:widowControl w:val="0"/>
        <w:contextualSpacing/>
      </w:pPr>
      <w:r>
        <w:t>In line with the ‘Declaration of Helsinki’ (the World Medical Associations’ statement of ethical principles for research involving human subjects), Good Clinical Practice guidelines, and local regulatory requirements</w:t>
      </w:r>
      <w:r>
        <w:br/>
        <w:t>‘All patients gave written informed consent’</w:t>
      </w:r>
      <w:r>
        <w:br/>
        <w:t>‘Minimum requirements for the standard of care included the provision of IV fluids, supplemental oxygen, regular lab testing, SARS-CoV-2 testing, haemodynamic monitoring, and intensive care, as well as the ability to deliver concomitant medications.’</w:t>
      </w:r>
    </w:p>
    <w:p w14:paraId="00706818" w14:textId="77777777" w:rsidR="008B0A17" w:rsidRDefault="008B0A17" w:rsidP="000406D9">
      <w:pPr>
        <w:widowControl w:val="0"/>
        <w:contextualSpacing/>
      </w:pPr>
    </w:p>
    <w:p w14:paraId="73560FD9" w14:textId="77777777" w:rsidR="008B0A17" w:rsidRDefault="008B0A17" w:rsidP="000406D9">
      <w:pPr>
        <w:widowControl w:val="0"/>
        <w:contextualSpacing/>
      </w:pPr>
      <w:r>
        <w:t>‘No patients were involved in setting the research question or the outcome measures, nor were they involved in developing plans for recruitment, design, or implementation of the study.’</w:t>
      </w:r>
    </w:p>
    <w:p w14:paraId="47AADB56" w14:textId="77777777" w:rsidR="008B0A17" w:rsidRDefault="008B0A17" w:rsidP="000406D9">
      <w:pPr>
        <w:spacing w:before="240" w:after="240"/>
        <w:contextualSpacing/>
      </w:pPr>
    </w:p>
    <w:p w14:paraId="00AD6004" w14:textId="0D2A56C9" w:rsidR="008B0A17" w:rsidRDefault="008B0A17" w:rsidP="000406D9">
      <w:pPr>
        <w:spacing w:before="240" w:after="240"/>
        <w:contextualSpacing/>
      </w:pPr>
    </w:p>
    <w:p w14:paraId="17FFD984" w14:textId="62153BBE" w:rsidR="003F5C83" w:rsidRPr="001430D0" w:rsidRDefault="003F5C83" w:rsidP="003F5C83">
      <w:pPr>
        <w:jc w:val="center"/>
        <w:rPr>
          <w:b/>
          <w:bCs/>
          <w:color w:val="7030A0"/>
          <w:sz w:val="36"/>
          <w:szCs w:val="36"/>
        </w:rPr>
      </w:pPr>
      <w:r w:rsidRPr="001430D0">
        <w:rPr>
          <w:b/>
          <w:bCs/>
          <w:color w:val="7030A0"/>
          <w:sz w:val="36"/>
          <w:szCs w:val="36"/>
        </w:rPr>
        <w:t xml:space="preserve">MMJ Journal Club Session </w:t>
      </w:r>
      <w:r>
        <w:rPr>
          <w:b/>
          <w:bCs/>
          <w:color w:val="7030A0"/>
          <w:sz w:val="36"/>
          <w:szCs w:val="36"/>
        </w:rPr>
        <w:t>4</w:t>
      </w:r>
      <w:r w:rsidRPr="001430D0">
        <w:rPr>
          <w:b/>
          <w:bCs/>
          <w:color w:val="7030A0"/>
          <w:sz w:val="36"/>
          <w:szCs w:val="36"/>
        </w:rPr>
        <w:t xml:space="preserve">: </w:t>
      </w:r>
      <w:r>
        <w:rPr>
          <w:b/>
          <w:bCs/>
          <w:color w:val="7030A0"/>
          <w:sz w:val="36"/>
          <w:szCs w:val="36"/>
        </w:rPr>
        <w:t>19</w:t>
      </w:r>
      <w:r w:rsidRPr="001430D0">
        <w:rPr>
          <w:b/>
          <w:bCs/>
          <w:color w:val="7030A0"/>
          <w:sz w:val="36"/>
          <w:szCs w:val="36"/>
        </w:rPr>
        <w:t>/10/2020</w:t>
      </w:r>
    </w:p>
    <w:p w14:paraId="2C5019F0" w14:textId="77777777" w:rsidR="003F5C83" w:rsidRPr="00B7497F" w:rsidRDefault="003F5C83" w:rsidP="000406D9">
      <w:pPr>
        <w:spacing w:before="240" w:after="240"/>
        <w:contextualSpacing/>
        <w:rPr>
          <w:sz w:val="22"/>
          <w:szCs w:val="22"/>
        </w:rPr>
      </w:pPr>
    </w:p>
    <w:p w14:paraId="743A01EE" w14:textId="77777777" w:rsidR="00B7497F" w:rsidRPr="00B7497F" w:rsidRDefault="00B7497F" w:rsidP="00B7497F">
      <w:pPr>
        <w:jc w:val="center"/>
        <w:rPr>
          <w:b/>
          <w:bCs/>
          <w:sz w:val="28"/>
          <w:szCs w:val="28"/>
          <w:lang w:val="en-SG"/>
        </w:rPr>
      </w:pPr>
      <w:r w:rsidRPr="00B7497F">
        <w:rPr>
          <w:b/>
          <w:bCs/>
          <w:sz w:val="28"/>
          <w:szCs w:val="28"/>
          <w:lang w:val="en-SG"/>
        </w:rPr>
        <w:t>Cardiovascular and Renal Outcomes with Empagliflozin in Heart Failure</w:t>
      </w:r>
    </w:p>
    <w:p w14:paraId="164930E7" w14:textId="571BC8C8" w:rsidR="008B0A17" w:rsidRDefault="00B7497F" w:rsidP="00B7497F">
      <w:pPr>
        <w:contextualSpacing/>
        <w:jc w:val="center"/>
        <w:rPr>
          <w:lang w:val="sv-SE"/>
        </w:rPr>
      </w:pPr>
      <w:r w:rsidRPr="00B7497F">
        <w:rPr>
          <w:lang w:val="da-DK"/>
        </w:rPr>
        <w:t xml:space="preserve">M. </w:t>
      </w:r>
      <w:proofErr w:type="spellStart"/>
      <w:r w:rsidRPr="00B7497F">
        <w:rPr>
          <w:lang w:val="da-DK"/>
        </w:rPr>
        <w:t>Packer</w:t>
      </w:r>
      <w:proofErr w:type="spellEnd"/>
      <w:r w:rsidRPr="00B7497F">
        <w:rPr>
          <w:lang w:val="da-DK"/>
        </w:rPr>
        <w:t xml:space="preserve">, S.D. Anker, J. Butler </w:t>
      </w:r>
      <w:r w:rsidRPr="00B7497F">
        <w:rPr>
          <w:i/>
          <w:iCs/>
          <w:lang w:val="da-DK"/>
        </w:rPr>
        <w:t>et al</w:t>
      </w:r>
      <w:r>
        <w:rPr>
          <w:lang w:val="da-DK"/>
        </w:rPr>
        <w:t xml:space="preserve">. </w:t>
      </w:r>
      <w:r w:rsidRPr="00B7497F">
        <w:rPr>
          <w:lang w:val="sv-SE"/>
        </w:rPr>
        <w:t xml:space="preserve">N </w:t>
      </w:r>
      <w:proofErr w:type="spellStart"/>
      <w:r w:rsidRPr="00B7497F">
        <w:rPr>
          <w:lang w:val="sv-SE"/>
        </w:rPr>
        <w:t>Engl</w:t>
      </w:r>
      <w:proofErr w:type="spellEnd"/>
      <w:r w:rsidRPr="00B7497F">
        <w:rPr>
          <w:lang w:val="sv-SE"/>
        </w:rPr>
        <w:t xml:space="preserve"> J Med</w:t>
      </w:r>
      <w:r>
        <w:rPr>
          <w:lang w:val="sv-SE"/>
        </w:rPr>
        <w:t xml:space="preserve"> (</w:t>
      </w:r>
      <w:r w:rsidRPr="00B7497F">
        <w:rPr>
          <w:lang w:val="sv-SE"/>
        </w:rPr>
        <w:t>2020</w:t>
      </w:r>
      <w:r>
        <w:rPr>
          <w:lang w:val="sv-SE"/>
        </w:rPr>
        <w:t>)</w:t>
      </w:r>
      <w:r w:rsidRPr="00B7497F">
        <w:rPr>
          <w:lang w:val="sv-SE"/>
        </w:rPr>
        <w:t xml:space="preserve"> 383(15):1413-1424.</w:t>
      </w:r>
    </w:p>
    <w:p w14:paraId="5FF27A45" w14:textId="74498C32" w:rsidR="00B7497F" w:rsidRDefault="00B7497F" w:rsidP="00B7497F">
      <w:pPr>
        <w:contextualSpacing/>
        <w:jc w:val="center"/>
        <w:rPr>
          <w:lang w:val="sv-SE"/>
        </w:rPr>
      </w:pPr>
    </w:p>
    <w:p w14:paraId="44943FEB" w14:textId="5E806523" w:rsidR="00B7497F" w:rsidRDefault="00787B5C" w:rsidP="00B7497F">
      <w:pPr>
        <w:contextualSpacing/>
        <w:jc w:val="center"/>
        <w:rPr>
          <w:b/>
          <w:bCs/>
          <w:lang w:val="sv-SE"/>
        </w:rPr>
      </w:pPr>
      <w:proofErr w:type="spellStart"/>
      <w:r w:rsidRPr="00787B5C">
        <w:rPr>
          <w:b/>
          <w:bCs/>
          <w:lang w:val="sv-SE"/>
        </w:rPr>
        <w:t>Analysis</w:t>
      </w:r>
      <w:proofErr w:type="spellEnd"/>
      <w:r w:rsidRPr="00787B5C">
        <w:rPr>
          <w:b/>
          <w:bCs/>
          <w:lang w:val="sv-SE"/>
        </w:rPr>
        <w:t xml:space="preserve"> by: </w:t>
      </w:r>
      <w:proofErr w:type="spellStart"/>
      <w:r w:rsidRPr="00787B5C">
        <w:rPr>
          <w:b/>
          <w:bCs/>
          <w:lang w:val="sv-SE"/>
        </w:rPr>
        <w:t>Sharanniyan</w:t>
      </w:r>
      <w:proofErr w:type="spellEnd"/>
      <w:r w:rsidRPr="00787B5C">
        <w:rPr>
          <w:b/>
          <w:bCs/>
          <w:lang w:val="sv-SE"/>
        </w:rPr>
        <w:t xml:space="preserve"> </w:t>
      </w:r>
      <w:proofErr w:type="spellStart"/>
      <w:r w:rsidRPr="00787B5C">
        <w:rPr>
          <w:b/>
          <w:bCs/>
          <w:lang w:val="sv-SE"/>
        </w:rPr>
        <w:t>Ragavan</w:t>
      </w:r>
      <w:proofErr w:type="spellEnd"/>
    </w:p>
    <w:p w14:paraId="7EB4E7BF" w14:textId="7D2B8A23" w:rsidR="00787B5C" w:rsidRDefault="00787B5C" w:rsidP="00B7497F">
      <w:pPr>
        <w:contextualSpacing/>
        <w:jc w:val="center"/>
        <w:rPr>
          <w:b/>
          <w:bCs/>
          <w:lang w:val="sv-SE"/>
        </w:rPr>
      </w:pPr>
    </w:p>
    <w:p w14:paraId="2BCB4902" w14:textId="77777777" w:rsidR="00787B5C" w:rsidRPr="00787B5C" w:rsidRDefault="00787B5C" w:rsidP="00787B5C">
      <w:pPr>
        <w:rPr>
          <w:b/>
          <w:bCs/>
          <w:color w:val="7030A0"/>
          <w:sz w:val="28"/>
          <w:szCs w:val="28"/>
          <w:lang w:val="en-SG"/>
        </w:rPr>
      </w:pPr>
      <w:r w:rsidRPr="00787B5C">
        <w:rPr>
          <w:b/>
          <w:bCs/>
          <w:color w:val="7030A0"/>
          <w:sz w:val="28"/>
          <w:szCs w:val="28"/>
          <w:lang w:val="en-SG"/>
        </w:rPr>
        <w:t>Type of study</w:t>
      </w:r>
    </w:p>
    <w:p w14:paraId="519B8503" w14:textId="6C440471" w:rsidR="00787B5C" w:rsidRDefault="00787B5C" w:rsidP="00787B5C">
      <w:pPr>
        <w:rPr>
          <w:lang w:val="en-SG"/>
        </w:rPr>
      </w:pPr>
      <w:r>
        <w:rPr>
          <w:lang w:val="en-SG"/>
        </w:rPr>
        <w:t>Double-blind placebo randomized control trial</w:t>
      </w:r>
      <w:r>
        <w:rPr>
          <w:lang w:val="en-SG"/>
        </w:rPr>
        <w:t>.</w:t>
      </w:r>
    </w:p>
    <w:p w14:paraId="564A935D" w14:textId="77777777" w:rsidR="00787B5C" w:rsidRDefault="00787B5C" w:rsidP="00787B5C">
      <w:pPr>
        <w:rPr>
          <w:lang w:val="en-SG"/>
        </w:rPr>
      </w:pPr>
    </w:p>
    <w:p w14:paraId="0604375F" w14:textId="77777777" w:rsidR="00787B5C" w:rsidRPr="00787B5C" w:rsidRDefault="00787B5C" w:rsidP="00787B5C">
      <w:pPr>
        <w:rPr>
          <w:color w:val="7030A0"/>
          <w:sz w:val="28"/>
          <w:szCs w:val="28"/>
          <w:lang w:val="en-SG"/>
        </w:rPr>
      </w:pPr>
      <w:r w:rsidRPr="00787B5C">
        <w:rPr>
          <w:b/>
          <w:bCs/>
          <w:color w:val="7030A0"/>
          <w:sz w:val="28"/>
          <w:szCs w:val="28"/>
          <w:lang w:val="en-SG"/>
        </w:rPr>
        <w:t>Population</w:t>
      </w:r>
    </w:p>
    <w:p w14:paraId="532614A8" w14:textId="3A1900E4" w:rsidR="00787B5C" w:rsidRDefault="00787B5C" w:rsidP="00787B5C">
      <w:r>
        <w:t>Adult patients (above 18 with chronic heart failure class 2-4) with ejection fraction of less than 40%</w:t>
      </w:r>
      <w:r>
        <w:t>.</w:t>
      </w:r>
    </w:p>
    <w:p w14:paraId="76F3610C" w14:textId="77777777" w:rsidR="00787B5C" w:rsidRDefault="00787B5C" w:rsidP="00787B5C"/>
    <w:p w14:paraId="71DEF867" w14:textId="77777777" w:rsidR="00787B5C" w:rsidRPr="00787B5C" w:rsidRDefault="00787B5C" w:rsidP="00787B5C">
      <w:pPr>
        <w:rPr>
          <w:b/>
          <w:bCs/>
          <w:color w:val="7030A0"/>
          <w:sz w:val="28"/>
          <w:szCs w:val="28"/>
        </w:rPr>
      </w:pPr>
      <w:r w:rsidRPr="00787B5C">
        <w:rPr>
          <w:b/>
          <w:bCs/>
          <w:color w:val="7030A0"/>
          <w:sz w:val="28"/>
          <w:szCs w:val="28"/>
        </w:rPr>
        <w:t>Intervention</w:t>
      </w:r>
    </w:p>
    <w:p w14:paraId="357B65CB" w14:textId="086B462F" w:rsidR="00787B5C" w:rsidRDefault="00787B5C" w:rsidP="00787B5C">
      <w:r>
        <w:t>Empagliflozin (Jardiance) 10mg OD or placebo</w:t>
      </w:r>
      <w:r>
        <w:t>.</w:t>
      </w:r>
    </w:p>
    <w:p w14:paraId="59FCE0A1" w14:textId="77777777" w:rsidR="00787B5C" w:rsidRDefault="00787B5C" w:rsidP="00787B5C"/>
    <w:p w14:paraId="5542700E" w14:textId="77777777" w:rsidR="00787B5C" w:rsidRPr="00787B5C" w:rsidRDefault="00787B5C" w:rsidP="00787B5C">
      <w:pPr>
        <w:rPr>
          <w:color w:val="7030A0"/>
          <w:sz w:val="28"/>
          <w:szCs w:val="28"/>
          <w:lang w:val="en-SG"/>
        </w:rPr>
      </w:pPr>
      <w:r w:rsidRPr="00787B5C">
        <w:rPr>
          <w:b/>
          <w:bCs/>
          <w:color w:val="7030A0"/>
          <w:sz w:val="28"/>
          <w:szCs w:val="28"/>
          <w:lang w:val="en-SG"/>
        </w:rPr>
        <w:t>Control</w:t>
      </w:r>
    </w:p>
    <w:p w14:paraId="380D711F" w14:textId="77777777" w:rsidR="00787B5C" w:rsidRDefault="00787B5C" w:rsidP="00787B5C">
      <w:pPr>
        <w:rPr>
          <w:lang w:val="en-SG"/>
        </w:rPr>
      </w:pPr>
      <w:r>
        <w:rPr>
          <w:lang w:val="en-SG"/>
        </w:rPr>
        <w:t>Placebo 1:1</w:t>
      </w:r>
    </w:p>
    <w:p w14:paraId="76B97A1D" w14:textId="77777777" w:rsidR="00787B5C" w:rsidRDefault="00787B5C" w:rsidP="00787B5C">
      <w:pPr>
        <w:rPr>
          <w:lang w:val="en-SG"/>
        </w:rPr>
      </w:pPr>
    </w:p>
    <w:p w14:paraId="448EB228" w14:textId="77777777" w:rsidR="00787B5C" w:rsidRPr="00787B5C" w:rsidRDefault="00787B5C" w:rsidP="00787B5C">
      <w:pPr>
        <w:rPr>
          <w:color w:val="7030A0"/>
          <w:sz w:val="28"/>
          <w:szCs w:val="28"/>
          <w:lang w:val="en-SG"/>
        </w:rPr>
      </w:pPr>
      <w:r w:rsidRPr="00787B5C">
        <w:rPr>
          <w:b/>
          <w:bCs/>
          <w:color w:val="7030A0"/>
          <w:sz w:val="28"/>
          <w:szCs w:val="28"/>
          <w:lang w:val="en-SG"/>
        </w:rPr>
        <w:t>Outcomes</w:t>
      </w:r>
    </w:p>
    <w:p w14:paraId="046BA7F0" w14:textId="4D1562CC" w:rsidR="00787B5C" w:rsidRDefault="00787B5C" w:rsidP="00787B5C">
      <w:r>
        <w:t>Primary outcome was either time to adjudicated hospitalisation for heart failure or cardiovascular death</w:t>
      </w:r>
      <w:r>
        <w:t xml:space="preserve">. </w:t>
      </w:r>
      <w:r>
        <w:t>Secondary outcomes were occurrence of all adjudicated hospitalisations for heart failure, first and recurrent events and rate of decline in the estimated GFR</w:t>
      </w:r>
      <w:r>
        <w:t>.</w:t>
      </w:r>
    </w:p>
    <w:p w14:paraId="31166074" w14:textId="77777777" w:rsidR="00787B5C" w:rsidRDefault="00787B5C" w:rsidP="00787B5C">
      <w:pPr>
        <w:rPr>
          <w:lang w:val="en-SG"/>
        </w:rPr>
      </w:pPr>
    </w:p>
    <w:p w14:paraId="59EE3BB0" w14:textId="77777777" w:rsidR="0032142F" w:rsidRDefault="0032142F" w:rsidP="00787B5C">
      <w:pPr>
        <w:rPr>
          <w:b/>
          <w:bCs/>
          <w:color w:val="7030A0"/>
          <w:sz w:val="28"/>
          <w:szCs w:val="28"/>
          <w:lang w:val="en-SG"/>
        </w:rPr>
      </w:pPr>
    </w:p>
    <w:p w14:paraId="52135712" w14:textId="77777777" w:rsidR="0032142F" w:rsidRDefault="0032142F" w:rsidP="00787B5C">
      <w:pPr>
        <w:rPr>
          <w:b/>
          <w:bCs/>
          <w:color w:val="7030A0"/>
          <w:sz w:val="28"/>
          <w:szCs w:val="28"/>
          <w:lang w:val="en-SG"/>
        </w:rPr>
      </w:pPr>
    </w:p>
    <w:p w14:paraId="49BF08CD" w14:textId="2374C76D" w:rsidR="0032142F" w:rsidRDefault="00787B5C" w:rsidP="00787B5C">
      <w:pPr>
        <w:rPr>
          <w:color w:val="7030A0"/>
          <w:sz w:val="28"/>
          <w:szCs w:val="28"/>
          <w:lang w:val="en-SG"/>
        </w:rPr>
      </w:pPr>
      <w:r w:rsidRPr="0032142F">
        <w:rPr>
          <w:b/>
          <w:bCs/>
          <w:color w:val="7030A0"/>
          <w:sz w:val="28"/>
          <w:szCs w:val="28"/>
          <w:lang w:val="en-SG"/>
        </w:rPr>
        <w:lastRenderedPageBreak/>
        <w:t>Key findings</w:t>
      </w:r>
    </w:p>
    <w:p w14:paraId="2C94D51F" w14:textId="5F869996" w:rsidR="00787B5C" w:rsidRPr="0032142F" w:rsidRDefault="00787B5C" w:rsidP="00787B5C">
      <w:pPr>
        <w:rPr>
          <w:color w:val="7030A0"/>
          <w:sz w:val="28"/>
          <w:szCs w:val="28"/>
          <w:lang w:val="en-SG"/>
        </w:rPr>
      </w:pPr>
      <w:r>
        <w:t>19.4% of Jardiance group had a primary outcome and 24.7% in the placebo group with the hazard ratio being 0.75, p value less than 0.001. Effect of Jardiance on the primary outcome was consistent regardless of diabetes status. Secondary outcomes, hospitalisations for heart failure was lower in the empagliflozin than in placebo group. Decline of GFR was slower in the Jardiance group with them having lower risk of serious renal outcomes and uncomplicated genital tract infection was reported more frequently with Jardiance.</w:t>
      </w:r>
    </w:p>
    <w:p w14:paraId="64C0C99F" w14:textId="77777777" w:rsidR="00787B5C" w:rsidRDefault="00787B5C" w:rsidP="00787B5C">
      <w:pPr>
        <w:rPr>
          <w:lang w:val="en-SG"/>
        </w:rPr>
      </w:pPr>
    </w:p>
    <w:p w14:paraId="5303BDEA" w14:textId="77777777" w:rsidR="00787B5C" w:rsidRPr="0032142F" w:rsidRDefault="00787B5C" w:rsidP="00787B5C">
      <w:pPr>
        <w:rPr>
          <w:color w:val="7030A0"/>
          <w:sz w:val="28"/>
          <w:szCs w:val="28"/>
          <w:lang w:val="en-SG"/>
        </w:rPr>
      </w:pPr>
      <w:r w:rsidRPr="0032142F">
        <w:rPr>
          <w:b/>
          <w:bCs/>
          <w:color w:val="7030A0"/>
          <w:sz w:val="28"/>
          <w:szCs w:val="28"/>
          <w:lang w:val="en-SG"/>
        </w:rPr>
        <w:t>Validity</w:t>
      </w:r>
    </w:p>
    <w:p w14:paraId="3141944A" w14:textId="77777777" w:rsidR="0032142F" w:rsidRDefault="00787B5C" w:rsidP="00787B5C">
      <w:pPr>
        <w:rPr>
          <w:b/>
          <w:bCs/>
          <w:color w:val="7030A0"/>
        </w:rPr>
      </w:pPr>
      <w:r w:rsidRPr="0032142F">
        <w:rPr>
          <w:b/>
          <w:bCs/>
          <w:color w:val="7030A0"/>
        </w:rPr>
        <w:t>Recruitment</w:t>
      </w:r>
    </w:p>
    <w:p w14:paraId="0D05EF48" w14:textId="5B6AF4E3" w:rsidR="00787B5C" w:rsidRDefault="00787B5C" w:rsidP="00787B5C">
      <w:r>
        <w:t>520 centres in 20 countries – therefore multicentre, patients were recruited after an eligibility period of 4-28 days meaning it was a consecutive enrolment trial which reduces selection bias</w:t>
      </w:r>
      <w:r w:rsidR="0032142F">
        <w:t>.</w:t>
      </w:r>
    </w:p>
    <w:p w14:paraId="29C6FAF0" w14:textId="77777777" w:rsidR="0032142F" w:rsidRDefault="00787B5C" w:rsidP="00787B5C">
      <w:pPr>
        <w:rPr>
          <w:b/>
          <w:bCs/>
          <w:color w:val="7030A0"/>
        </w:rPr>
      </w:pPr>
      <w:r w:rsidRPr="0032142F">
        <w:rPr>
          <w:b/>
          <w:bCs/>
          <w:color w:val="7030A0"/>
        </w:rPr>
        <w:t>Allocation</w:t>
      </w:r>
    </w:p>
    <w:p w14:paraId="21EEDC73" w14:textId="47EAE67D" w:rsidR="00787B5C" w:rsidRDefault="00787B5C" w:rsidP="00787B5C">
      <w:r>
        <w:t xml:space="preserve">Randomised, </w:t>
      </w:r>
      <w:r w:rsidR="0032142F">
        <w:t xml:space="preserve">double- </w:t>
      </w:r>
      <w:r>
        <w:t>blinded</w:t>
      </w:r>
      <w:r w:rsidR="0032142F">
        <w:t>.</w:t>
      </w:r>
    </w:p>
    <w:p w14:paraId="4464F6F5" w14:textId="77777777" w:rsidR="0032142F" w:rsidRDefault="00787B5C" w:rsidP="00787B5C">
      <w:r w:rsidRPr="0032142F">
        <w:rPr>
          <w:b/>
          <w:bCs/>
          <w:color w:val="7030A0"/>
        </w:rPr>
        <w:t>Maintenance</w:t>
      </w:r>
    </w:p>
    <w:p w14:paraId="79BB95A8" w14:textId="31073B2A" w:rsidR="00787B5C" w:rsidRDefault="00787B5C" w:rsidP="00787B5C">
      <w:r>
        <w:t>Ideally drop-out rate should be less than 10% but less than 20% is ideal, about 700 patients did not complete the trial so about 18%, appropriate treatment for HF and other co-morbidities were at the healthcare provider’s discretion according to the patient’s needs</w:t>
      </w:r>
      <w:r w:rsidR="00EA56EB">
        <w:t>.</w:t>
      </w:r>
    </w:p>
    <w:p w14:paraId="292BFB94" w14:textId="77777777" w:rsidR="0032142F" w:rsidRDefault="00787B5C" w:rsidP="00787B5C">
      <w:pPr>
        <w:rPr>
          <w:b/>
          <w:bCs/>
          <w:color w:val="7030A0"/>
        </w:rPr>
      </w:pPr>
      <w:r w:rsidRPr="0032142F">
        <w:rPr>
          <w:b/>
          <w:bCs/>
          <w:color w:val="7030A0"/>
        </w:rPr>
        <w:t>Statistics</w:t>
      </w:r>
    </w:p>
    <w:p w14:paraId="5BE02884" w14:textId="31F2A607" w:rsidR="00787B5C" w:rsidRDefault="00787B5C" w:rsidP="00787B5C">
      <w:r>
        <w:t>Power was 90% if a target of 841 primary outcome events was achieved and this will detect a 20% lower relative risk of the primary outcome with a two-sided alpha of 0.05, therefore the plan was to enrol 2850 patients with an option to increase enrolment should the achievement of the primary outcomes be slower than expected and accordingly they increased it to 3600</w:t>
      </w:r>
      <w:r w:rsidR="0032142F">
        <w:t>.</w:t>
      </w:r>
    </w:p>
    <w:p w14:paraId="2EC34986" w14:textId="77777777" w:rsidR="0032142F" w:rsidRDefault="00787B5C" w:rsidP="00787B5C">
      <w:r w:rsidRPr="0032142F">
        <w:rPr>
          <w:b/>
          <w:bCs/>
          <w:color w:val="7030A0"/>
        </w:rPr>
        <w:t>External validity</w:t>
      </w:r>
    </w:p>
    <w:p w14:paraId="417F2D9D" w14:textId="6D764251" w:rsidR="00787B5C" w:rsidRDefault="00787B5C" w:rsidP="00787B5C">
      <w:r>
        <w:t>Resource availability in other centres is potential setback, large multi-centre international trial which shows good external validity, side-effects of increased risk of genitourinary tract infection</w:t>
      </w:r>
      <w:r w:rsidR="009C7F78">
        <w:t>.</w:t>
      </w:r>
      <w:r>
        <w:t xml:space="preserve"> </w:t>
      </w:r>
    </w:p>
    <w:p w14:paraId="4705BBD2" w14:textId="77777777" w:rsidR="00787B5C" w:rsidRPr="002A28D2" w:rsidRDefault="00787B5C" w:rsidP="00787B5C">
      <w:pPr>
        <w:rPr>
          <w:lang w:val="en-SG"/>
        </w:rPr>
      </w:pPr>
    </w:p>
    <w:p w14:paraId="420354AF" w14:textId="77777777" w:rsidR="00787B5C" w:rsidRPr="00615179" w:rsidRDefault="00787B5C" w:rsidP="00787B5C">
      <w:pPr>
        <w:rPr>
          <w:color w:val="7030A0"/>
          <w:sz w:val="28"/>
          <w:szCs w:val="28"/>
        </w:rPr>
      </w:pPr>
      <w:r w:rsidRPr="00615179">
        <w:rPr>
          <w:b/>
          <w:bCs/>
          <w:color w:val="7030A0"/>
          <w:sz w:val="28"/>
          <w:szCs w:val="28"/>
        </w:rPr>
        <w:t>Funding</w:t>
      </w:r>
    </w:p>
    <w:p w14:paraId="3BE1023F" w14:textId="44087A5F" w:rsidR="00787B5C" w:rsidRDefault="00787B5C" w:rsidP="00787B5C">
      <w:r>
        <w:t xml:space="preserve">Funding was from Boehringer Ingelheim and Eli Lilly, Jardiance was codeveloped – is there a potential conflict of interest here? Eli Lilly is also one of the largest manufacturers of </w:t>
      </w:r>
      <w:proofErr w:type="gramStart"/>
      <w:r>
        <w:t>insulin</w:t>
      </w:r>
      <w:proofErr w:type="gramEnd"/>
      <w:r>
        <w:t xml:space="preserve"> so they do have interest in the diabetes space</w:t>
      </w:r>
      <w:r w:rsidR="00615179">
        <w:t>.</w:t>
      </w:r>
    </w:p>
    <w:p w14:paraId="42200E2B" w14:textId="77777777" w:rsidR="00787B5C" w:rsidRDefault="00787B5C" w:rsidP="00787B5C"/>
    <w:p w14:paraId="62CC54F2" w14:textId="1A7BD384" w:rsidR="00787B5C" w:rsidRPr="00B50CBB" w:rsidRDefault="00787B5C" w:rsidP="00787B5C">
      <w:pPr>
        <w:rPr>
          <w:color w:val="7030A0"/>
          <w:sz w:val="28"/>
          <w:szCs w:val="28"/>
        </w:rPr>
      </w:pPr>
      <w:r w:rsidRPr="00B50CBB">
        <w:rPr>
          <w:b/>
          <w:bCs/>
          <w:color w:val="7030A0"/>
          <w:sz w:val="28"/>
          <w:szCs w:val="28"/>
        </w:rPr>
        <w:t>Ethics</w:t>
      </w:r>
    </w:p>
    <w:p w14:paraId="53E3B323" w14:textId="77777777" w:rsidR="00787B5C" w:rsidRDefault="00787B5C" w:rsidP="00787B5C">
      <w:r>
        <w:t>Within the trial protocol you will be able to find information on the ethical approval and measures taken to conduct the trial ethically like informed consent, Declaration of Helsinki and so forth</w:t>
      </w:r>
    </w:p>
    <w:p w14:paraId="615C1CC8" w14:textId="77777777" w:rsidR="00787B5C" w:rsidRDefault="00787B5C" w:rsidP="00787B5C"/>
    <w:p w14:paraId="25C9010B" w14:textId="114EE38A" w:rsidR="00787B5C" w:rsidRPr="00B50CBB" w:rsidRDefault="00787B5C" w:rsidP="00787B5C">
      <w:pPr>
        <w:rPr>
          <w:b/>
          <w:bCs/>
          <w:color w:val="7030A0"/>
          <w:sz w:val="28"/>
          <w:szCs w:val="28"/>
        </w:rPr>
      </w:pPr>
      <w:r w:rsidRPr="00B50CBB">
        <w:rPr>
          <w:b/>
          <w:bCs/>
          <w:color w:val="7030A0"/>
          <w:sz w:val="28"/>
          <w:szCs w:val="28"/>
        </w:rPr>
        <w:t>Strengths</w:t>
      </w:r>
    </w:p>
    <w:p w14:paraId="308DC7EE" w14:textId="17C72782" w:rsidR="00787B5C" w:rsidRDefault="00787B5C" w:rsidP="00787B5C">
      <w:r>
        <w:t>Multi-centre international RCT with 1:1 placebo matching and large patient cohort</w:t>
      </w:r>
      <w:r w:rsidR="00B50CBB">
        <w:t xml:space="preserve">. </w:t>
      </w:r>
      <w:r>
        <w:t>Below 20% drop out rate</w:t>
      </w:r>
      <w:r w:rsidR="00B50CBB">
        <w:t xml:space="preserve">. </w:t>
      </w:r>
      <w:r>
        <w:t>Ethical approval granted</w:t>
      </w:r>
      <w:r w:rsidR="00B50CBB">
        <w:t>.</w:t>
      </w:r>
    </w:p>
    <w:p w14:paraId="4A3BB766" w14:textId="77777777" w:rsidR="00787B5C" w:rsidRDefault="00787B5C" w:rsidP="00787B5C"/>
    <w:p w14:paraId="5D3B8C3C" w14:textId="77777777" w:rsidR="00B50CBB" w:rsidRDefault="00B50CBB" w:rsidP="00787B5C">
      <w:pPr>
        <w:rPr>
          <w:b/>
          <w:bCs/>
          <w:color w:val="7030A0"/>
          <w:sz w:val="28"/>
          <w:szCs w:val="28"/>
        </w:rPr>
      </w:pPr>
    </w:p>
    <w:p w14:paraId="4FBEF301" w14:textId="77777777" w:rsidR="00B50CBB" w:rsidRDefault="00B50CBB" w:rsidP="00787B5C">
      <w:pPr>
        <w:rPr>
          <w:b/>
          <w:bCs/>
          <w:color w:val="7030A0"/>
          <w:sz w:val="28"/>
          <w:szCs w:val="28"/>
        </w:rPr>
      </w:pPr>
    </w:p>
    <w:p w14:paraId="137CD682" w14:textId="507FBE93" w:rsidR="00B50CBB" w:rsidRDefault="00787B5C" w:rsidP="00787B5C">
      <w:pPr>
        <w:rPr>
          <w:b/>
          <w:bCs/>
          <w:color w:val="7030A0"/>
          <w:sz w:val="28"/>
          <w:szCs w:val="28"/>
        </w:rPr>
      </w:pPr>
      <w:r w:rsidRPr="00B50CBB">
        <w:rPr>
          <w:b/>
          <w:bCs/>
          <w:color w:val="7030A0"/>
          <w:sz w:val="28"/>
          <w:szCs w:val="28"/>
        </w:rPr>
        <w:lastRenderedPageBreak/>
        <w:t>Weaknesses</w:t>
      </w:r>
    </w:p>
    <w:p w14:paraId="5149E898" w14:textId="76D9902C" w:rsidR="00787B5C" w:rsidRPr="00B50CBB" w:rsidRDefault="00787B5C" w:rsidP="00787B5C">
      <w:pPr>
        <w:rPr>
          <w:b/>
          <w:bCs/>
          <w:color w:val="7030A0"/>
          <w:sz w:val="28"/>
          <w:szCs w:val="28"/>
        </w:rPr>
      </w:pPr>
      <w:r>
        <w:t>Potential funding conflict of interest</w:t>
      </w:r>
      <w:r w:rsidR="00B50CBB">
        <w:t>. The d</w:t>
      </w:r>
      <w:r>
        <w:t>rug may not be easily available to extrapolate this in other resource poor settings</w:t>
      </w:r>
    </w:p>
    <w:p w14:paraId="1B6CDFEB" w14:textId="77777777" w:rsidR="00787B5C" w:rsidRDefault="00787B5C" w:rsidP="00787B5C"/>
    <w:p w14:paraId="3AD705E6" w14:textId="6B7D52E4" w:rsidR="00787B5C" w:rsidRPr="00B50CBB" w:rsidRDefault="00787B5C" w:rsidP="00787B5C">
      <w:pPr>
        <w:rPr>
          <w:b/>
          <w:bCs/>
          <w:color w:val="7030A0"/>
          <w:sz w:val="28"/>
          <w:szCs w:val="28"/>
        </w:rPr>
      </w:pPr>
      <w:r w:rsidRPr="00B50CBB">
        <w:rPr>
          <w:b/>
          <w:bCs/>
          <w:color w:val="7030A0"/>
          <w:sz w:val="28"/>
          <w:szCs w:val="28"/>
        </w:rPr>
        <w:t>Conclusion</w:t>
      </w:r>
    </w:p>
    <w:p w14:paraId="2E604828" w14:textId="77777777" w:rsidR="00787B5C" w:rsidRPr="00845CDD" w:rsidRDefault="00787B5C" w:rsidP="00787B5C">
      <w:r>
        <w:t>A randomised control trial that was double blinded with a placebo looking at hospitalisation due to heart failure or death using Empagliflozin as an intervention. Considering its implications there is potential for inclusion of this in clinical practice.</w:t>
      </w:r>
    </w:p>
    <w:p w14:paraId="0A5F5562" w14:textId="05F75A90" w:rsidR="00787B5C" w:rsidRDefault="00787B5C" w:rsidP="00787B5C">
      <w:pPr>
        <w:contextualSpacing/>
        <w:rPr>
          <w:b/>
          <w:bCs/>
        </w:rPr>
      </w:pPr>
    </w:p>
    <w:p w14:paraId="7D59FC8F" w14:textId="003AE746" w:rsidR="00A11051" w:rsidRDefault="00A11051" w:rsidP="00787B5C">
      <w:pPr>
        <w:contextualSpacing/>
        <w:rPr>
          <w:b/>
          <w:bCs/>
        </w:rPr>
      </w:pPr>
    </w:p>
    <w:p w14:paraId="679D63EB" w14:textId="5975D923" w:rsidR="00A11051" w:rsidRPr="001430D0" w:rsidRDefault="00A11051" w:rsidP="00A11051">
      <w:pPr>
        <w:jc w:val="center"/>
        <w:rPr>
          <w:b/>
          <w:bCs/>
          <w:color w:val="7030A0"/>
          <w:sz w:val="36"/>
          <w:szCs w:val="36"/>
        </w:rPr>
      </w:pPr>
      <w:r w:rsidRPr="001430D0">
        <w:rPr>
          <w:b/>
          <w:bCs/>
          <w:color w:val="7030A0"/>
          <w:sz w:val="36"/>
          <w:szCs w:val="36"/>
        </w:rPr>
        <w:t xml:space="preserve">MMJ Journal Club Session </w:t>
      </w:r>
      <w:r>
        <w:rPr>
          <w:b/>
          <w:bCs/>
          <w:color w:val="7030A0"/>
          <w:sz w:val="36"/>
          <w:szCs w:val="36"/>
        </w:rPr>
        <w:t>5</w:t>
      </w:r>
      <w:r w:rsidRPr="001430D0">
        <w:rPr>
          <w:b/>
          <w:bCs/>
          <w:color w:val="7030A0"/>
          <w:sz w:val="36"/>
          <w:szCs w:val="36"/>
        </w:rPr>
        <w:t xml:space="preserve">: </w:t>
      </w:r>
      <w:r w:rsidR="00B07BF4">
        <w:rPr>
          <w:b/>
          <w:bCs/>
          <w:color w:val="7030A0"/>
          <w:sz w:val="36"/>
          <w:szCs w:val="36"/>
        </w:rPr>
        <w:t>02</w:t>
      </w:r>
      <w:r w:rsidRPr="001430D0">
        <w:rPr>
          <w:b/>
          <w:bCs/>
          <w:color w:val="7030A0"/>
          <w:sz w:val="36"/>
          <w:szCs w:val="36"/>
        </w:rPr>
        <w:t>/1</w:t>
      </w:r>
      <w:r w:rsidR="00B07BF4">
        <w:rPr>
          <w:b/>
          <w:bCs/>
          <w:color w:val="7030A0"/>
          <w:sz w:val="36"/>
          <w:szCs w:val="36"/>
        </w:rPr>
        <w:t>1</w:t>
      </w:r>
      <w:r w:rsidRPr="001430D0">
        <w:rPr>
          <w:b/>
          <w:bCs/>
          <w:color w:val="7030A0"/>
          <w:sz w:val="36"/>
          <w:szCs w:val="36"/>
        </w:rPr>
        <w:t>/2020</w:t>
      </w:r>
    </w:p>
    <w:p w14:paraId="1C0F1B8B" w14:textId="77777777" w:rsidR="00A11051" w:rsidRPr="00B7497F" w:rsidRDefault="00A11051" w:rsidP="00A11051">
      <w:pPr>
        <w:spacing w:before="240" w:after="240"/>
        <w:contextualSpacing/>
        <w:rPr>
          <w:sz w:val="22"/>
          <w:szCs w:val="22"/>
        </w:rPr>
      </w:pPr>
    </w:p>
    <w:p w14:paraId="5E5DC5B4" w14:textId="77777777" w:rsidR="00B07BF4" w:rsidRDefault="00B07BF4" w:rsidP="00A11051">
      <w:pPr>
        <w:contextualSpacing/>
        <w:jc w:val="center"/>
        <w:rPr>
          <w:b/>
          <w:bCs/>
          <w:sz w:val="28"/>
          <w:szCs w:val="28"/>
          <w:lang w:val="en-SG"/>
        </w:rPr>
      </w:pPr>
      <w:r w:rsidRPr="00B07BF4">
        <w:rPr>
          <w:b/>
          <w:bCs/>
          <w:sz w:val="28"/>
          <w:szCs w:val="28"/>
          <w:lang w:val="en-SG"/>
        </w:rPr>
        <w:t>ACTIVATE: Randomized Clinical Trial of BCG Vaccination against Infection in the Elderly</w:t>
      </w:r>
    </w:p>
    <w:p w14:paraId="632275DD" w14:textId="09410334" w:rsidR="00B07BF4" w:rsidRPr="00B07BF4" w:rsidRDefault="00B07BF4" w:rsidP="00B07BF4">
      <w:pPr>
        <w:jc w:val="center"/>
        <w:rPr>
          <w:rFonts w:cs="Segoe UI"/>
          <w:color w:val="000000" w:themeColor="text1"/>
          <w:shd w:val="clear" w:color="auto" w:fill="FFFFFF"/>
        </w:rPr>
      </w:pPr>
      <w:hyperlink r:id="rId7" w:history="1">
        <w:r w:rsidRPr="00B07BF4">
          <w:rPr>
            <w:rStyle w:val="Hyperlink"/>
            <w:rFonts w:cs="Segoe UI"/>
            <w:color w:val="000000" w:themeColor="text1"/>
            <w:u w:val="none"/>
          </w:rPr>
          <w:t>E. J.</w:t>
        </w:r>
        <w:proofErr w:type="spellStart"/>
        <w:r w:rsidRPr="00B07BF4">
          <w:rPr>
            <w:rStyle w:val="Hyperlink"/>
            <w:rFonts w:cs="Segoe UI"/>
            <w:color w:val="000000" w:themeColor="text1"/>
            <w:u w:val="none"/>
          </w:rPr>
          <w:t xml:space="preserve"> </w:t>
        </w:r>
        <w:r w:rsidRPr="00B07BF4">
          <w:rPr>
            <w:rStyle w:val="Hyperlink"/>
            <w:rFonts w:cs="Segoe UI"/>
            <w:color w:val="000000" w:themeColor="text1"/>
            <w:u w:val="none"/>
          </w:rPr>
          <w:t>Giamarellos-Bourboulis</w:t>
        </w:r>
        <w:proofErr w:type="spellEnd"/>
      </w:hyperlink>
      <w:r w:rsidRPr="00B07BF4">
        <w:rPr>
          <w:rStyle w:val="author-sup-separator"/>
          <w:rFonts w:cs="Segoe UI"/>
          <w:color w:val="000000" w:themeColor="text1"/>
          <w:shd w:val="clear" w:color="auto" w:fill="FFFFFF"/>
        </w:rPr>
        <w:t>,</w:t>
      </w:r>
      <w:r w:rsidRPr="00B07BF4">
        <w:rPr>
          <w:rStyle w:val="comma"/>
          <w:rFonts w:cs="Segoe UI"/>
          <w:color w:val="000000" w:themeColor="text1"/>
          <w:shd w:val="clear" w:color="auto" w:fill="FFFFFF"/>
        </w:rPr>
        <w:t> </w:t>
      </w:r>
      <w:hyperlink r:id="rId8" w:history="1">
        <w:r w:rsidRPr="00B07BF4">
          <w:rPr>
            <w:rStyle w:val="Hyperlink"/>
            <w:rFonts w:cs="Segoe UI"/>
            <w:color w:val="000000" w:themeColor="text1"/>
            <w:u w:val="none"/>
          </w:rPr>
          <w:t>M</w:t>
        </w:r>
        <w:r w:rsidRPr="00B07BF4">
          <w:rPr>
            <w:rStyle w:val="Hyperlink"/>
            <w:rFonts w:cs="Segoe UI"/>
            <w:color w:val="000000" w:themeColor="text1"/>
            <w:u w:val="none"/>
          </w:rPr>
          <w:t xml:space="preserve">. </w:t>
        </w:r>
        <w:proofErr w:type="spellStart"/>
        <w:r w:rsidRPr="00B07BF4">
          <w:rPr>
            <w:rStyle w:val="Hyperlink"/>
            <w:rFonts w:cs="Segoe UI"/>
            <w:color w:val="000000" w:themeColor="text1"/>
            <w:u w:val="none"/>
          </w:rPr>
          <w:t>Tsilika</w:t>
        </w:r>
        <w:proofErr w:type="spellEnd"/>
      </w:hyperlink>
      <w:r w:rsidRPr="00B07BF4">
        <w:rPr>
          <w:rStyle w:val="comma"/>
          <w:rFonts w:cs="Segoe UI"/>
          <w:color w:val="000000" w:themeColor="text1"/>
          <w:shd w:val="clear" w:color="auto" w:fill="FFFFFF"/>
        </w:rPr>
        <w:t>, </w:t>
      </w:r>
      <w:hyperlink r:id="rId9" w:history="1">
        <w:r w:rsidRPr="00B07BF4">
          <w:rPr>
            <w:rStyle w:val="Hyperlink"/>
            <w:rFonts w:cs="Segoe UI"/>
            <w:color w:val="000000" w:themeColor="text1"/>
            <w:u w:val="none"/>
          </w:rPr>
          <w:t>S</w:t>
        </w:r>
        <w:r w:rsidRPr="00B07BF4">
          <w:rPr>
            <w:rStyle w:val="Hyperlink"/>
            <w:rFonts w:cs="Segoe UI"/>
            <w:color w:val="000000" w:themeColor="text1"/>
            <w:u w:val="none"/>
          </w:rPr>
          <w:t xml:space="preserve">. </w:t>
        </w:r>
        <w:proofErr w:type="spellStart"/>
        <w:r w:rsidRPr="00B07BF4">
          <w:rPr>
            <w:rStyle w:val="Hyperlink"/>
            <w:rFonts w:cs="Segoe UI"/>
            <w:color w:val="000000" w:themeColor="text1"/>
            <w:u w:val="none"/>
          </w:rPr>
          <w:t>Moorlag</w:t>
        </w:r>
        <w:proofErr w:type="spellEnd"/>
      </w:hyperlink>
      <w:r>
        <w:rPr>
          <w:rStyle w:val="authors-list-item"/>
          <w:rFonts w:cs="Segoe UI"/>
          <w:color w:val="000000" w:themeColor="text1"/>
          <w:shd w:val="clear" w:color="auto" w:fill="FFFFFF"/>
        </w:rPr>
        <w:t xml:space="preserve"> </w:t>
      </w:r>
      <w:r>
        <w:rPr>
          <w:rStyle w:val="authors-list-item"/>
          <w:rFonts w:cs="Segoe UI"/>
          <w:i/>
          <w:iCs/>
          <w:color w:val="000000" w:themeColor="text1"/>
          <w:shd w:val="clear" w:color="auto" w:fill="FFFFFF"/>
        </w:rPr>
        <w:t>et al</w:t>
      </w:r>
      <w:r>
        <w:rPr>
          <w:rStyle w:val="authors-list-item"/>
          <w:rFonts w:cs="Segoe UI"/>
          <w:color w:val="000000" w:themeColor="text1"/>
          <w:shd w:val="clear" w:color="auto" w:fill="FFFFFF"/>
        </w:rPr>
        <w:t xml:space="preserve">. </w:t>
      </w:r>
      <w:r w:rsidRPr="00B07BF4">
        <w:rPr>
          <w:rStyle w:val="authors-list-item"/>
          <w:rFonts w:cs="Segoe UI"/>
          <w:color w:val="000000" w:themeColor="text1"/>
          <w:shd w:val="clear" w:color="auto" w:fill="FFFFFF"/>
        </w:rPr>
        <w:t>Cel</w:t>
      </w:r>
      <w:r>
        <w:rPr>
          <w:rStyle w:val="authors-list-item"/>
          <w:rFonts w:cs="Segoe UI"/>
          <w:color w:val="000000" w:themeColor="text1"/>
          <w:shd w:val="clear" w:color="auto" w:fill="FFFFFF"/>
        </w:rPr>
        <w:t>l (</w:t>
      </w:r>
      <w:r w:rsidRPr="00B07BF4">
        <w:rPr>
          <w:rStyle w:val="authors-list-item"/>
          <w:rFonts w:cs="Segoe UI"/>
          <w:color w:val="000000" w:themeColor="text1"/>
          <w:shd w:val="clear" w:color="auto" w:fill="FFFFFF"/>
        </w:rPr>
        <w:t>2020</w:t>
      </w:r>
      <w:r>
        <w:rPr>
          <w:rStyle w:val="authors-list-item"/>
          <w:rFonts w:cs="Segoe UI"/>
          <w:color w:val="000000" w:themeColor="text1"/>
          <w:shd w:val="clear" w:color="auto" w:fill="FFFFFF"/>
        </w:rPr>
        <w:t xml:space="preserve">) </w:t>
      </w:r>
      <w:r w:rsidRPr="00B07BF4">
        <w:rPr>
          <w:rStyle w:val="authors-list-item"/>
          <w:rFonts w:cs="Segoe UI"/>
          <w:color w:val="000000" w:themeColor="text1"/>
          <w:shd w:val="clear" w:color="auto" w:fill="FFFFFF"/>
        </w:rPr>
        <w:t>183(2):315-323.e9.</w:t>
      </w:r>
    </w:p>
    <w:p w14:paraId="404D68F8" w14:textId="77777777" w:rsidR="00A11051" w:rsidRPr="00B07BF4" w:rsidRDefault="00A11051" w:rsidP="00A11051">
      <w:pPr>
        <w:contextualSpacing/>
        <w:jc w:val="center"/>
      </w:pPr>
    </w:p>
    <w:p w14:paraId="74C0C9FB" w14:textId="73125B04" w:rsidR="00A11051" w:rsidRDefault="00A11051" w:rsidP="00A11051">
      <w:pPr>
        <w:contextualSpacing/>
        <w:jc w:val="center"/>
        <w:rPr>
          <w:b/>
          <w:bCs/>
        </w:rPr>
      </w:pPr>
      <w:r w:rsidRPr="00B07BF4">
        <w:rPr>
          <w:b/>
          <w:bCs/>
        </w:rPr>
        <w:t xml:space="preserve">Analysis </w:t>
      </w:r>
      <w:proofErr w:type="gramStart"/>
      <w:r w:rsidRPr="00B07BF4">
        <w:rPr>
          <w:b/>
          <w:bCs/>
        </w:rPr>
        <w:t>by:</w:t>
      </w:r>
      <w:proofErr w:type="gramEnd"/>
      <w:r w:rsidRPr="00B07BF4">
        <w:rPr>
          <w:b/>
          <w:bCs/>
        </w:rPr>
        <w:t xml:space="preserve"> </w:t>
      </w:r>
      <w:r w:rsidR="00B07BF4">
        <w:rPr>
          <w:b/>
          <w:bCs/>
        </w:rPr>
        <w:t>Monica Dingwall</w:t>
      </w:r>
    </w:p>
    <w:p w14:paraId="223A9301" w14:textId="3C264C3B" w:rsidR="00175D2B" w:rsidRDefault="00175D2B" w:rsidP="00A11051">
      <w:pPr>
        <w:contextualSpacing/>
        <w:jc w:val="center"/>
        <w:rPr>
          <w:b/>
          <w:bCs/>
        </w:rPr>
      </w:pPr>
    </w:p>
    <w:p w14:paraId="5AF41010" w14:textId="77777777" w:rsidR="00175D2B" w:rsidRPr="00175D2B" w:rsidRDefault="00175D2B" w:rsidP="00175D2B">
      <w:pPr>
        <w:pStyle w:val="Heading1"/>
        <w:rPr>
          <w:rFonts w:asciiTheme="minorHAnsi" w:hAnsiTheme="minorHAnsi"/>
          <w:b/>
          <w:bCs/>
          <w:color w:val="7030A0"/>
          <w:sz w:val="28"/>
          <w:szCs w:val="28"/>
        </w:rPr>
      </w:pPr>
      <w:r w:rsidRPr="00175D2B">
        <w:rPr>
          <w:rFonts w:asciiTheme="minorHAnsi" w:hAnsiTheme="minorHAnsi"/>
          <w:b/>
          <w:bCs/>
          <w:color w:val="7030A0"/>
          <w:sz w:val="28"/>
          <w:szCs w:val="28"/>
        </w:rPr>
        <w:t>Summary</w:t>
      </w:r>
    </w:p>
    <w:p w14:paraId="6019169E" w14:textId="77777777" w:rsidR="00175D2B" w:rsidRPr="00175D2B" w:rsidRDefault="00175D2B" w:rsidP="00175D2B">
      <w:r w:rsidRPr="00175D2B">
        <w:t>This paper is a randomised controlled trial of the use of BCG vaccination against infections, such as COVID-19, in the elderly population compared to no vaccination. This was an interim study, with results published earlier than originally planned due to the COVID-19 pandemic. Overall this was is a reliable study and with further research and continuation of the study may be applicable in clinical practice.</w:t>
      </w:r>
    </w:p>
    <w:p w14:paraId="3D859F50" w14:textId="77777777" w:rsidR="00175D2B" w:rsidRPr="00175D2B" w:rsidRDefault="00175D2B" w:rsidP="00175D2B">
      <w:pPr>
        <w:pStyle w:val="Heading1"/>
        <w:rPr>
          <w:rFonts w:asciiTheme="minorHAnsi" w:hAnsiTheme="minorHAnsi"/>
          <w:b/>
          <w:bCs/>
          <w:color w:val="7030A0"/>
          <w:sz w:val="28"/>
          <w:szCs w:val="28"/>
        </w:rPr>
      </w:pPr>
      <w:r w:rsidRPr="00175D2B">
        <w:rPr>
          <w:rFonts w:asciiTheme="minorHAnsi" w:hAnsiTheme="minorHAnsi"/>
          <w:b/>
          <w:bCs/>
          <w:color w:val="7030A0"/>
          <w:sz w:val="28"/>
          <w:szCs w:val="28"/>
        </w:rPr>
        <w:t>Type of Study</w:t>
      </w:r>
    </w:p>
    <w:p w14:paraId="4A3D99D4" w14:textId="77777777" w:rsidR="00175D2B" w:rsidRDefault="00175D2B" w:rsidP="00175D2B">
      <w:r w:rsidRPr="00187D2A">
        <w:t>Prospective, double-blind, randomised and placebo-controlled phase III clinical trial</w:t>
      </w:r>
    </w:p>
    <w:p w14:paraId="384324B8" w14:textId="77777777" w:rsidR="00175D2B" w:rsidRPr="00175D2B" w:rsidRDefault="00175D2B" w:rsidP="00175D2B">
      <w:pPr>
        <w:pStyle w:val="Heading1"/>
        <w:rPr>
          <w:rFonts w:asciiTheme="minorHAnsi" w:hAnsiTheme="minorHAnsi"/>
          <w:b/>
          <w:bCs/>
          <w:color w:val="7030A0"/>
          <w:sz w:val="28"/>
          <w:szCs w:val="28"/>
        </w:rPr>
      </w:pPr>
      <w:r w:rsidRPr="00175D2B">
        <w:rPr>
          <w:rFonts w:asciiTheme="minorHAnsi" w:hAnsiTheme="minorHAnsi"/>
          <w:b/>
          <w:bCs/>
          <w:color w:val="7030A0"/>
          <w:sz w:val="28"/>
          <w:szCs w:val="28"/>
        </w:rPr>
        <w:t>PICO</w:t>
      </w:r>
    </w:p>
    <w:p w14:paraId="02E4845C" w14:textId="77777777" w:rsidR="00175D2B" w:rsidRPr="00175D2B" w:rsidRDefault="00175D2B" w:rsidP="00175D2B">
      <w:pPr>
        <w:pStyle w:val="Heading2"/>
        <w:rPr>
          <w:rFonts w:asciiTheme="minorHAnsi" w:hAnsiTheme="minorHAnsi"/>
          <w:b/>
          <w:bCs/>
          <w:color w:val="7030A0"/>
          <w:sz w:val="24"/>
          <w:szCs w:val="24"/>
        </w:rPr>
      </w:pPr>
      <w:r w:rsidRPr="00175D2B">
        <w:rPr>
          <w:rFonts w:asciiTheme="minorHAnsi" w:hAnsiTheme="minorHAnsi"/>
          <w:b/>
          <w:bCs/>
          <w:color w:val="7030A0"/>
          <w:sz w:val="24"/>
          <w:szCs w:val="24"/>
        </w:rPr>
        <w:t>Population</w:t>
      </w:r>
    </w:p>
    <w:p w14:paraId="13B664EA" w14:textId="77777777" w:rsidR="00175D2B" w:rsidRPr="00175D2B" w:rsidRDefault="00175D2B" w:rsidP="00175D2B">
      <w:r w:rsidRPr="00175D2B">
        <w:t>Elderly patients (&gt;65) from both genders discharged from hospital for medical reasons</w:t>
      </w:r>
    </w:p>
    <w:p w14:paraId="574A0DEB" w14:textId="77777777" w:rsidR="00175D2B" w:rsidRPr="00175D2B" w:rsidRDefault="00175D2B" w:rsidP="00175D2B">
      <w:r w:rsidRPr="00175D2B">
        <w:t>Patients were excluded for the following reasons: denied informed consent, malignancy, steroid treatment, immunodeficiency, IGRA positive</w:t>
      </w:r>
    </w:p>
    <w:p w14:paraId="4F04E7F5" w14:textId="77777777" w:rsidR="00175D2B" w:rsidRPr="00175D2B" w:rsidRDefault="00175D2B" w:rsidP="00175D2B">
      <w:pPr>
        <w:pStyle w:val="Heading2"/>
        <w:rPr>
          <w:rFonts w:asciiTheme="minorHAnsi" w:hAnsiTheme="minorHAnsi"/>
          <w:b/>
          <w:bCs/>
          <w:color w:val="7030A0"/>
          <w:sz w:val="24"/>
          <w:szCs w:val="24"/>
        </w:rPr>
      </w:pPr>
      <w:r w:rsidRPr="00175D2B">
        <w:rPr>
          <w:rFonts w:asciiTheme="minorHAnsi" w:hAnsiTheme="minorHAnsi"/>
          <w:b/>
          <w:bCs/>
          <w:color w:val="7030A0"/>
          <w:sz w:val="24"/>
          <w:szCs w:val="24"/>
        </w:rPr>
        <w:t>Intervention</w:t>
      </w:r>
    </w:p>
    <w:p w14:paraId="0A4377F3" w14:textId="77777777" w:rsidR="00175D2B" w:rsidRPr="00175D2B" w:rsidRDefault="00175D2B" w:rsidP="00175D2B">
      <w:r w:rsidRPr="00175D2B">
        <w:t>Vaccination with BCG vaccine</w:t>
      </w:r>
    </w:p>
    <w:p w14:paraId="595D65DD" w14:textId="77777777" w:rsidR="00175D2B" w:rsidRPr="00175D2B" w:rsidRDefault="00175D2B" w:rsidP="00175D2B">
      <w:pPr>
        <w:pStyle w:val="Heading2"/>
        <w:rPr>
          <w:rFonts w:asciiTheme="minorHAnsi" w:hAnsiTheme="minorHAnsi"/>
          <w:b/>
          <w:bCs/>
          <w:color w:val="7030A0"/>
          <w:sz w:val="24"/>
          <w:szCs w:val="24"/>
        </w:rPr>
      </w:pPr>
      <w:r w:rsidRPr="00175D2B">
        <w:rPr>
          <w:rFonts w:asciiTheme="minorHAnsi" w:hAnsiTheme="minorHAnsi"/>
          <w:b/>
          <w:bCs/>
          <w:color w:val="7030A0"/>
          <w:sz w:val="24"/>
          <w:szCs w:val="24"/>
        </w:rPr>
        <w:t>Control</w:t>
      </w:r>
    </w:p>
    <w:p w14:paraId="6F19BF27" w14:textId="77777777" w:rsidR="00175D2B" w:rsidRPr="00175D2B" w:rsidRDefault="00175D2B" w:rsidP="00175D2B">
      <w:r w:rsidRPr="00175D2B">
        <w:t>Placebo vaccination</w:t>
      </w:r>
    </w:p>
    <w:p w14:paraId="49C71C46" w14:textId="77777777" w:rsidR="00175D2B" w:rsidRPr="00175D2B" w:rsidRDefault="00175D2B" w:rsidP="00175D2B">
      <w:pPr>
        <w:pStyle w:val="Heading2"/>
        <w:rPr>
          <w:rFonts w:asciiTheme="minorHAnsi" w:hAnsiTheme="minorHAnsi"/>
          <w:b/>
          <w:bCs/>
          <w:color w:val="7030A0"/>
          <w:sz w:val="24"/>
          <w:szCs w:val="24"/>
        </w:rPr>
      </w:pPr>
      <w:r w:rsidRPr="00175D2B">
        <w:rPr>
          <w:rFonts w:asciiTheme="minorHAnsi" w:hAnsiTheme="minorHAnsi"/>
          <w:b/>
          <w:bCs/>
          <w:color w:val="7030A0"/>
          <w:sz w:val="24"/>
          <w:szCs w:val="24"/>
        </w:rPr>
        <w:t>Outcome Measures</w:t>
      </w:r>
    </w:p>
    <w:p w14:paraId="769492DA" w14:textId="77777777" w:rsidR="00175D2B" w:rsidRPr="00175D2B" w:rsidRDefault="00175D2B" w:rsidP="00175D2B">
      <w:r w:rsidRPr="00175D2B">
        <w:t>Primary outcome – time interval to first infection post hospital discharge</w:t>
      </w:r>
    </w:p>
    <w:p w14:paraId="3CD2A4D7" w14:textId="2C8EBBF4" w:rsidR="00175D2B" w:rsidRPr="00175D2B" w:rsidRDefault="00175D2B" w:rsidP="00175D2B">
      <w:r w:rsidRPr="00175D2B">
        <w:lastRenderedPageBreak/>
        <w:t>Secondary outcomes - rate of hospitalisation for 12 months, time to first sepsis episode, total number of infections, time to first hospitalisation, number of antibiotic courses, one-year mortality</w:t>
      </w:r>
      <w:r>
        <w:t>.</w:t>
      </w:r>
    </w:p>
    <w:p w14:paraId="780A9874" w14:textId="77777777" w:rsidR="00175D2B" w:rsidRPr="00F06C3B" w:rsidRDefault="00175D2B" w:rsidP="00175D2B">
      <w:pPr>
        <w:pStyle w:val="Heading1"/>
        <w:rPr>
          <w:rFonts w:asciiTheme="minorHAnsi" w:hAnsiTheme="minorHAnsi"/>
          <w:b/>
          <w:bCs/>
          <w:color w:val="7030A0"/>
          <w:sz w:val="28"/>
          <w:szCs w:val="28"/>
        </w:rPr>
      </w:pPr>
      <w:r w:rsidRPr="00F06C3B">
        <w:rPr>
          <w:rFonts w:asciiTheme="minorHAnsi" w:hAnsiTheme="minorHAnsi"/>
          <w:b/>
          <w:bCs/>
          <w:color w:val="7030A0"/>
          <w:sz w:val="28"/>
          <w:szCs w:val="28"/>
        </w:rPr>
        <w:t>Methods</w:t>
      </w:r>
    </w:p>
    <w:p w14:paraId="49879DDD" w14:textId="77777777" w:rsidR="00175D2B" w:rsidRPr="00175D2B" w:rsidRDefault="00175D2B" w:rsidP="00175D2B">
      <w:r w:rsidRPr="00175D2B">
        <w:t>Appropriate study design – Randomised control trial</w:t>
      </w:r>
    </w:p>
    <w:p w14:paraId="72C00DB6" w14:textId="77777777" w:rsidR="00175D2B" w:rsidRPr="00175D2B" w:rsidRDefault="00175D2B" w:rsidP="00175D2B">
      <w:r w:rsidRPr="00175D2B">
        <w:t>Reproducible - explains randomisation and blinding methods</w:t>
      </w:r>
    </w:p>
    <w:p w14:paraId="4CDAE492" w14:textId="77777777" w:rsidR="00175D2B" w:rsidRPr="00175D2B" w:rsidRDefault="00175D2B" w:rsidP="00175D2B">
      <w:r w:rsidRPr="00175D2B">
        <w:t>Sample size calculation stated in the paper</w:t>
      </w:r>
    </w:p>
    <w:p w14:paraId="047F8CC9" w14:textId="77777777" w:rsidR="00175D2B" w:rsidRPr="00175D2B" w:rsidRDefault="00175D2B" w:rsidP="00175D2B">
      <w:r w:rsidRPr="00175D2B">
        <w:t>Level of significance 5%</w:t>
      </w:r>
    </w:p>
    <w:p w14:paraId="2C48A308" w14:textId="77777777" w:rsidR="00175D2B" w:rsidRPr="00F06C3B" w:rsidRDefault="00175D2B" w:rsidP="00175D2B">
      <w:pPr>
        <w:pStyle w:val="Heading1"/>
        <w:rPr>
          <w:rFonts w:asciiTheme="minorHAnsi" w:hAnsiTheme="minorHAnsi"/>
          <w:b/>
          <w:bCs/>
          <w:color w:val="7030A0"/>
          <w:sz w:val="28"/>
          <w:szCs w:val="28"/>
        </w:rPr>
      </w:pPr>
      <w:r w:rsidRPr="00F06C3B">
        <w:rPr>
          <w:rFonts w:asciiTheme="minorHAnsi" w:hAnsiTheme="minorHAnsi"/>
          <w:b/>
          <w:bCs/>
          <w:color w:val="7030A0"/>
          <w:sz w:val="28"/>
          <w:szCs w:val="28"/>
        </w:rPr>
        <w:t>Strengths</w:t>
      </w:r>
    </w:p>
    <w:p w14:paraId="79A34398" w14:textId="77777777" w:rsidR="00175D2B" w:rsidRPr="00175D2B" w:rsidRDefault="00175D2B" w:rsidP="00175D2B">
      <w:r w:rsidRPr="00175D2B">
        <w:t>Builds on and supports current literature</w:t>
      </w:r>
    </w:p>
    <w:p w14:paraId="07650852" w14:textId="77777777" w:rsidR="00175D2B" w:rsidRPr="00175D2B" w:rsidRDefault="00175D2B" w:rsidP="00175D2B">
      <w:r w:rsidRPr="00175D2B">
        <w:t>Strong study design with statistically significant results</w:t>
      </w:r>
    </w:p>
    <w:p w14:paraId="49FCED0F" w14:textId="77777777" w:rsidR="00175D2B" w:rsidRPr="00175D2B" w:rsidRDefault="00175D2B" w:rsidP="00175D2B">
      <w:r w:rsidRPr="00175D2B">
        <w:t>Clear methods and results support the discussion of the paper</w:t>
      </w:r>
    </w:p>
    <w:p w14:paraId="071F25EE" w14:textId="77777777" w:rsidR="00175D2B" w:rsidRPr="00F06C3B" w:rsidRDefault="00175D2B" w:rsidP="00175D2B">
      <w:pPr>
        <w:pStyle w:val="Heading1"/>
        <w:rPr>
          <w:rFonts w:asciiTheme="minorHAnsi" w:hAnsiTheme="minorHAnsi"/>
          <w:b/>
          <w:bCs/>
          <w:color w:val="7030A0"/>
          <w:sz w:val="28"/>
          <w:szCs w:val="28"/>
        </w:rPr>
      </w:pPr>
      <w:r w:rsidRPr="00F06C3B">
        <w:rPr>
          <w:rFonts w:asciiTheme="minorHAnsi" w:hAnsiTheme="minorHAnsi"/>
          <w:b/>
          <w:bCs/>
          <w:color w:val="7030A0"/>
          <w:sz w:val="28"/>
          <w:szCs w:val="28"/>
        </w:rPr>
        <w:t>Weaknesses</w:t>
      </w:r>
    </w:p>
    <w:p w14:paraId="50FEC7E5" w14:textId="77777777" w:rsidR="00175D2B" w:rsidRPr="00175D2B" w:rsidRDefault="00175D2B" w:rsidP="00175D2B">
      <w:r w:rsidRPr="00175D2B">
        <w:t>An interim analysis, therefore further research needed</w:t>
      </w:r>
    </w:p>
    <w:p w14:paraId="59476B04" w14:textId="77777777" w:rsidR="00175D2B" w:rsidRPr="00175D2B" w:rsidRDefault="00175D2B" w:rsidP="00175D2B">
      <w:r w:rsidRPr="00175D2B">
        <w:t>Small sample size of cohort – larger study needed for validation</w:t>
      </w:r>
    </w:p>
    <w:p w14:paraId="23E15597" w14:textId="77777777" w:rsidR="00175D2B" w:rsidRPr="00175D2B" w:rsidRDefault="00175D2B" w:rsidP="00175D2B">
      <w:r w:rsidRPr="00175D2B">
        <w:t>Some information missing from trial, such as: lack of repeat IGRA after vaccination; absence of serological information on the incidence of respiratory infections; and lack of information on BCG at birth</w:t>
      </w:r>
    </w:p>
    <w:p w14:paraId="169D533B" w14:textId="77777777" w:rsidR="00175D2B" w:rsidRPr="00175D2B" w:rsidRDefault="00175D2B" w:rsidP="00175D2B">
      <w:r w:rsidRPr="00175D2B">
        <w:t>Applying use of BCG to COVID, however no evidence as to whether it would be effective against COVID-19, even though it is effective against other respiratory tract infections.</w:t>
      </w:r>
    </w:p>
    <w:p w14:paraId="2447361F" w14:textId="6EE05DDB" w:rsidR="00175D2B" w:rsidRDefault="00175D2B" w:rsidP="00175D2B">
      <w:pPr>
        <w:contextualSpacing/>
        <w:rPr>
          <w:b/>
          <w:bCs/>
        </w:rPr>
      </w:pPr>
    </w:p>
    <w:p w14:paraId="307D9B49" w14:textId="071A53B9" w:rsidR="006F68CB" w:rsidRDefault="006F68CB" w:rsidP="00175D2B">
      <w:pPr>
        <w:contextualSpacing/>
        <w:rPr>
          <w:b/>
          <w:bCs/>
        </w:rPr>
      </w:pPr>
    </w:p>
    <w:p w14:paraId="0F25BE0C" w14:textId="77777777" w:rsidR="00ED501F" w:rsidRDefault="00ED501F" w:rsidP="006F68CB">
      <w:pPr>
        <w:jc w:val="center"/>
        <w:rPr>
          <w:b/>
          <w:bCs/>
          <w:color w:val="7030A0"/>
          <w:sz w:val="36"/>
          <w:szCs w:val="36"/>
        </w:rPr>
      </w:pPr>
    </w:p>
    <w:p w14:paraId="6B8DD2B0" w14:textId="77122BC3" w:rsidR="006F68CB" w:rsidRPr="001430D0" w:rsidRDefault="006F68CB" w:rsidP="006F68CB">
      <w:pPr>
        <w:jc w:val="center"/>
        <w:rPr>
          <w:b/>
          <w:bCs/>
          <w:color w:val="7030A0"/>
          <w:sz w:val="36"/>
          <w:szCs w:val="36"/>
        </w:rPr>
      </w:pPr>
      <w:r w:rsidRPr="001430D0">
        <w:rPr>
          <w:b/>
          <w:bCs/>
          <w:color w:val="7030A0"/>
          <w:sz w:val="36"/>
          <w:szCs w:val="36"/>
        </w:rPr>
        <w:t xml:space="preserve">MMJ Journal Club Session </w:t>
      </w:r>
      <w:r>
        <w:rPr>
          <w:b/>
          <w:bCs/>
          <w:color w:val="7030A0"/>
          <w:sz w:val="36"/>
          <w:szCs w:val="36"/>
        </w:rPr>
        <w:t>6</w:t>
      </w:r>
      <w:r w:rsidRPr="001430D0">
        <w:rPr>
          <w:b/>
          <w:bCs/>
          <w:color w:val="7030A0"/>
          <w:sz w:val="36"/>
          <w:szCs w:val="36"/>
        </w:rPr>
        <w:t xml:space="preserve">: </w:t>
      </w:r>
      <w:r>
        <w:rPr>
          <w:b/>
          <w:bCs/>
          <w:color w:val="7030A0"/>
          <w:sz w:val="36"/>
          <w:szCs w:val="36"/>
        </w:rPr>
        <w:t>16</w:t>
      </w:r>
      <w:r w:rsidRPr="001430D0">
        <w:rPr>
          <w:b/>
          <w:bCs/>
          <w:color w:val="7030A0"/>
          <w:sz w:val="36"/>
          <w:szCs w:val="36"/>
        </w:rPr>
        <w:t>/1</w:t>
      </w:r>
      <w:r>
        <w:rPr>
          <w:b/>
          <w:bCs/>
          <w:color w:val="7030A0"/>
          <w:sz w:val="36"/>
          <w:szCs w:val="36"/>
        </w:rPr>
        <w:t>1</w:t>
      </w:r>
      <w:r w:rsidRPr="001430D0">
        <w:rPr>
          <w:b/>
          <w:bCs/>
          <w:color w:val="7030A0"/>
          <w:sz w:val="36"/>
          <w:szCs w:val="36"/>
        </w:rPr>
        <w:t>/2020</w:t>
      </w:r>
    </w:p>
    <w:p w14:paraId="3AD8A199" w14:textId="77777777" w:rsidR="006F68CB" w:rsidRPr="00B7497F" w:rsidRDefault="006F68CB" w:rsidP="006F68CB">
      <w:pPr>
        <w:spacing w:before="240" w:after="240"/>
        <w:contextualSpacing/>
        <w:rPr>
          <w:sz w:val="22"/>
          <w:szCs w:val="22"/>
        </w:rPr>
      </w:pPr>
    </w:p>
    <w:p w14:paraId="09126F7A" w14:textId="59AB5836" w:rsidR="006F68CB" w:rsidRDefault="006F68CB" w:rsidP="006F68CB">
      <w:pPr>
        <w:jc w:val="center"/>
        <w:rPr>
          <w:rStyle w:val="authors-list-item"/>
          <w:rFonts w:cs="Segoe UI"/>
          <w:color w:val="000000" w:themeColor="text1"/>
          <w:shd w:val="clear" w:color="auto" w:fill="FFFFFF"/>
        </w:rPr>
      </w:pPr>
      <w:r w:rsidRPr="006F68CB">
        <w:rPr>
          <w:b/>
          <w:bCs/>
          <w:sz w:val="28"/>
          <w:szCs w:val="28"/>
        </w:rPr>
        <w:t>Breast cancer surgery in older women: outcomes of the Bridging Age Gap in Breast Cancer study</w:t>
      </w:r>
      <w:r w:rsidRPr="006F68CB">
        <w:rPr>
          <w:rStyle w:val="authors-list-item"/>
          <w:rFonts w:cs="Segoe UI"/>
          <w:color w:val="000000" w:themeColor="text1"/>
          <w:sz w:val="28"/>
          <w:szCs w:val="28"/>
          <w:shd w:val="clear" w:color="auto" w:fill="FFFFFF"/>
        </w:rPr>
        <w:t xml:space="preserve"> </w:t>
      </w:r>
    </w:p>
    <w:p w14:paraId="1D63F73F" w14:textId="0927115B" w:rsidR="006F68CB" w:rsidRPr="000A5DC5" w:rsidRDefault="00CC768D" w:rsidP="000A5DC5">
      <w:pPr>
        <w:jc w:val="center"/>
        <w:rPr>
          <w:rFonts w:cs="Segoe UI"/>
          <w:color w:val="000000" w:themeColor="text1"/>
          <w:shd w:val="clear" w:color="auto" w:fill="FFFFFF"/>
          <w:lang w:val="da-DK"/>
        </w:rPr>
      </w:pPr>
      <w:r w:rsidRPr="000A5DC5">
        <w:rPr>
          <w:rStyle w:val="authors-list-item"/>
          <w:rFonts w:cs="Segoe UI"/>
          <w:color w:val="000000" w:themeColor="text1"/>
          <w:shd w:val="clear" w:color="auto" w:fill="FFFFFF"/>
          <w:lang w:val="da-DK"/>
        </w:rPr>
        <w:t xml:space="preserve">J.L. Morgan, J. George, G. Holmes </w:t>
      </w:r>
      <w:r w:rsidRPr="000A5DC5">
        <w:rPr>
          <w:rStyle w:val="authors-list-item"/>
          <w:rFonts w:cs="Segoe UI"/>
          <w:i/>
          <w:iCs/>
          <w:color w:val="000000" w:themeColor="text1"/>
          <w:shd w:val="clear" w:color="auto" w:fill="FFFFFF"/>
          <w:lang w:val="da-DK"/>
        </w:rPr>
        <w:t>et al.</w:t>
      </w:r>
      <w:r w:rsidRPr="000A5DC5">
        <w:rPr>
          <w:rStyle w:val="authors-list-item"/>
          <w:rFonts w:cs="Segoe UI"/>
          <w:color w:val="000000" w:themeColor="text1"/>
          <w:shd w:val="clear" w:color="auto" w:fill="FFFFFF"/>
          <w:lang w:val="da-DK"/>
        </w:rPr>
        <w:t xml:space="preserve"> </w:t>
      </w:r>
      <w:r w:rsidR="000A5DC5" w:rsidRPr="000A5DC5">
        <w:rPr>
          <w:rStyle w:val="authors-list-item"/>
          <w:rFonts w:cs="Segoe UI"/>
          <w:color w:val="000000" w:themeColor="text1"/>
          <w:shd w:val="clear" w:color="auto" w:fill="FFFFFF"/>
          <w:lang w:val="da-DK"/>
        </w:rPr>
        <w:t xml:space="preserve">Br J </w:t>
      </w:r>
      <w:proofErr w:type="spellStart"/>
      <w:r w:rsidR="000A5DC5" w:rsidRPr="000A5DC5">
        <w:rPr>
          <w:rStyle w:val="authors-list-item"/>
          <w:rFonts w:cs="Segoe UI"/>
          <w:color w:val="000000" w:themeColor="text1"/>
          <w:shd w:val="clear" w:color="auto" w:fill="FFFFFF"/>
          <w:lang w:val="da-DK"/>
        </w:rPr>
        <w:t>Surg</w:t>
      </w:r>
      <w:proofErr w:type="spellEnd"/>
      <w:r w:rsidR="000A5DC5">
        <w:rPr>
          <w:rStyle w:val="authors-list-item"/>
          <w:rFonts w:cs="Segoe UI"/>
          <w:color w:val="000000" w:themeColor="text1"/>
          <w:shd w:val="clear" w:color="auto" w:fill="FFFFFF"/>
          <w:lang w:val="da-DK"/>
        </w:rPr>
        <w:t xml:space="preserve"> (</w:t>
      </w:r>
      <w:r w:rsidR="000A5DC5" w:rsidRPr="000A5DC5">
        <w:rPr>
          <w:rStyle w:val="authors-list-item"/>
          <w:rFonts w:cs="Segoe UI"/>
          <w:color w:val="000000" w:themeColor="text1"/>
          <w:shd w:val="clear" w:color="auto" w:fill="FFFFFF"/>
          <w:lang w:val="nb-NO"/>
        </w:rPr>
        <w:t>2020</w:t>
      </w:r>
      <w:r w:rsidR="000A5DC5">
        <w:rPr>
          <w:rStyle w:val="authors-list-item"/>
          <w:rFonts w:cs="Segoe UI"/>
          <w:color w:val="000000" w:themeColor="text1"/>
          <w:shd w:val="clear" w:color="auto" w:fill="FFFFFF"/>
          <w:lang w:val="nb-NO"/>
        </w:rPr>
        <w:t>)</w:t>
      </w:r>
      <w:r w:rsidR="000A5DC5" w:rsidRPr="000A5DC5">
        <w:rPr>
          <w:rStyle w:val="authors-list-item"/>
          <w:rFonts w:cs="Segoe UI"/>
          <w:color w:val="000000" w:themeColor="text1"/>
          <w:shd w:val="clear" w:color="auto" w:fill="FFFFFF"/>
          <w:lang w:val="nb-NO"/>
        </w:rPr>
        <w:t xml:space="preserve"> 107(11):1468-1479</w:t>
      </w:r>
    </w:p>
    <w:p w14:paraId="234B6115" w14:textId="77777777" w:rsidR="006F68CB" w:rsidRPr="00CC768D" w:rsidRDefault="006F68CB" w:rsidP="006F68CB">
      <w:pPr>
        <w:contextualSpacing/>
        <w:jc w:val="center"/>
        <w:rPr>
          <w:lang w:val="nb-NO"/>
        </w:rPr>
      </w:pPr>
    </w:p>
    <w:p w14:paraId="1DD81A3A" w14:textId="660A9D2D" w:rsidR="006F68CB" w:rsidRDefault="006F68CB" w:rsidP="006F68CB">
      <w:pPr>
        <w:contextualSpacing/>
        <w:jc w:val="center"/>
        <w:rPr>
          <w:b/>
          <w:bCs/>
        </w:rPr>
      </w:pPr>
      <w:r w:rsidRPr="00B07BF4">
        <w:rPr>
          <w:b/>
          <w:bCs/>
        </w:rPr>
        <w:t xml:space="preserve">Analysis </w:t>
      </w:r>
      <w:proofErr w:type="gramStart"/>
      <w:r w:rsidRPr="00B07BF4">
        <w:rPr>
          <w:b/>
          <w:bCs/>
        </w:rPr>
        <w:t>by:</w:t>
      </w:r>
      <w:proofErr w:type="gramEnd"/>
      <w:r w:rsidRPr="00B07BF4">
        <w:rPr>
          <w:b/>
          <w:bCs/>
        </w:rPr>
        <w:t xml:space="preserve"> </w:t>
      </w:r>
      <w:r w:rsidR="00E45727">
        <w:rPr>
          <w:b/>
          <w:bCs/>
        </w:rPr>
        <w:t>Tricia Tay</w:t>
      </w:r>
    </w:p>
    <w:p w14:paraId="403CBDBC" w14:textId="7547AED5" w:rsidR="00E45727" w:rsidRDefault="00E45727" w:rsidP="006F68CB">
      <w:pPr>
        <w:contextualSpacing/>
        <w:jc w:val="center"/>
        <w:rPr>
          <w:b/>
          <w:bCs/>
        </w:rPr>
      </w:pPr>
    </w:p>
    <w:p w14:paraId="5A0B23E7" w14:textId="77777777" w:rsidR="00E45727" w:rsidRDefault="00E45727" w:rsidP="006F68CB">
      <w:pPr>
        <w:contextualSpacing/>
        <w:jc w:val="center"/>
        <w:rPr>
          <w:b/>
          <w:bCs/>
        </w:rPr>
      </w:pPr>
    </w:p>
    <w:p w14:paraId="14A408E5" w14:textId="77777777" w:rsidR="003A6725" w:rsidRPr="003A6725" w:rsidRDefault="003A6725" w:rsidP="003A6725">
      <w:pPr>
        <w:rPr>
          <w:b/>
          <w:bCs/>
          <w:color w:val="7030A0"/>
          <w:sz w:val="28"/>
          <w:szCs w:val="28"/>
        </w:rPr>
      </w:pPr>
      <w:r w:rsidRPr="003A6725">
        <w:rPr>
          <w:b/>
          <w:bCs/>
          <w:color w:val="7030A0"/>
          <w:sz w:val="28"/>
          <w:szCs w:val="28"/>
        </w:rPr>
        <w:t>Type of study</w:t>
      </w:r>
    </w:p>
    <w:p w14:paraId="73F60085" w14:textId="6ACC980A" w:rsidR="003A6725" w:rsidRDefault="003A6725" w:rsidP="003A6725">
      <w:r>
        <w:t>Prospective multicentre cohort study</w:t>
      </w:r>
      <w:r>
        <w:t>.</w:t>
      </w:r>
    </w:p>
    <w:p w14:paraId="45F19930" w14:textId="77777777" w:rsidR="003A6725" w:rsidRDefault="003A6725" w:rsidP="003A6725"/>
    <w:p w14:paraId="5D87745B" w14:textId="3087B3A2" w:rsidR="003A6725" w:rsidRPr="003A6725" w:rsidRDefault="003A6725" w:rsidP="003A6725">
      <w:pPr>
        <w:rPr>
          <w:b/>
          <w:bCs/>
          <w:color w:val="7030A0"/>
          <w:sz w:val="28"/>
          <w:szCs w:val="28"/>
        </w:rPr>
      </w:pPr>
      <w:r w:rsidRPr="003A6725">
        <w:rPr>
          <w:b/>
          <w:bCs/>
          <w:color w:val="7030A0"/>
          <w:sz w:val="28"/>
          <w:szCs w:val="28"/>
        </w:rPr>
        <w:t xml:space="preserve">Population </w:t>
      </w:r>
    </w:p>
    <w:p w14:paraId="031E3B3E" w14:textId="5C9F62C8" w:rsidR="003A6725" w:rsidRDefault="003A6725" w:rsidP="003A6725">
      <w:r>
        <w:t>Older women at least 70 years old with operable breast cancer</w:t>
      </w:r>
      <w:r>
        <w:t>.</w:t>
      </w:r>
    </w:p>
    <w:p w14:paraId="699D86B8" w14:textId="77777777" w:rsidR="003A6725" w:rsidRDefault="003A6725" w:rsidP="003A6725"/>
    <w:p w14:paraId="39D3588B" w14:textId="77777777" w:rsidR="003A6725" w:rsidRPr="003A6725" w:rsidRDefault="003A6725" w:rsidP="003A6725">
      <w:pPr>
        <w:rPr>
          <w:b/>
          <w:bCs/>
          <w:color w:val="7030A0"/>
          <w:sz w:val="28"/>
          <w:szCs w:val="28"/>
        </w:rPr>
      </w:pPr>
      <w:r w:rsidRPr="003A6725">
        <w:rPr>
          <w:b/>
          <w:bCs/>
          <w:color w:val="7030A0"/>
          <w:sz w:val="28"/>
          <w:szCs w:val="28"/>
        </w:rPr>
        <w:t xml:space="preserve">Intervention </w:t>
      </w:r>
    </w:p>
    <w:p w14:paraId="7BF8ADFA" w14:textId="77777777" w:rsidR="003A6725" w:rsidRDefault="003A6725" w:rsidP="003A6725">
      <w:r>
        <w:t>Breast surgery: Mastectomy vs breast-conserving surgery</w:t>
      </w:r>
    </w:p>
    <w:p w14:paraId="0E374CBB" w14:textId="2D8E4552" w:rsidR="003A6725" w:rsidRDefault="003A6725" w:rsidP="003A6725">
      <w:r>
        <w:t>Axillary surgery: Axillary lymph node dissection vs sentinel Lymph node biopsy vs none</w:t>
      </w:r>
      <w:r>
        <w:t>.</w:t>
      </w:r>
    </w:p>
    <w:p w14:paraId="4606390C" w14:textId="77777777" w:rsidR="003A6725" w:rsidRDefault="003A6725" w:rsidP="003A6725"/>
    <w:p w14:paraId="38E823D5" w14:textId="77777777" w:rsidR="003A6725" w:rsidRDefault="003A6725" w:rsidP="003A6725">
      <w:pPr>
        <w:rPr>
          <w:b/>
          <w:bCs/>
        </w:rPr>
      </w:pPr>
    </w:p>
    <w:p w14:paraId="4E43AFE9" w14:textId="77777777" w:rsidR="003A6725" w:rsidRDefault="003A6725" w:rsidP="003A6725">
      <w:pPr>
        <w:rPr>
          <w:b/>
          <w:bCs/>
        </w:rPr>
      </w:pPr>
    </w:p>
    <w:p w14:paraId="7A874D9D" w14:textId="3CB386B5" w:rsidR="003A6725" w:rsidRPr="003A6725" w:rsidRDefault="003A6725" w:rsidP="003A6725">
      <w:pPr>
        <w:rPr>
          <w:b/>
          <w:bCs/>
          <w:color w:val="7030A0"/>
          <w:sz w:val="28"/>
          <w:szCs w:val="28"/>
        </w:rPr>
      </w:pPr>
      <w:r w:rsidRPr="003A6725">
        <w:rPr>
          <w:b/>
          <w:bCs/>
          <w:color w:val="7030A0"/>
          <w:sz w:val="28"/>
          <w:szCs w:val="28"/>
        </w:rPr>
        <w:t xml:space="preserve">Comparison/Control </w:t>
      </w:r>
    </w:p>
    <w:p w14:paraId="33B97C44" w14:textId="0E9E4516" w:rsidR="003A6725" w:rsidRDefault="003A6725" w:rsidP="003A6725">
      <w:r>
        <w:t>Age, frailty, dementia, co-morbidities, oncological outcomes, rate of adverse events, long term quality of life, functional independence, 30-day mortality</w:t>
      </w:r>
      <w:r>
        <w:t>.</w:t>
      </w:r>
    </w:p>
    <w:p w14:paraId="68CD0813" w14:textId="77777777" w:rsidR="003A6725" w:rsidRDefault="003A6725" w:rsidP="003A6725"/>
    <w:p w14:paraId="6DE11CD5" w14:textId="77777777" w:rsidR="003A6725" w:rsidRPr="003A6725" w:rsidRDefault="003A6725" w:rsidP="003A6725">
      <w:pPr>
        <w:rPr>
          <w:b/>
          <w:bCs/>
          <w:color w:val="7030A0"/>
          <w:sz w:val="28"/>
          <w:szCs w:val="28"/>
        </w:rPr>
      </w:pPr>
      <w:r w:rsidRPr="003A6725">
        <w:rPr>
          <w:b/>
          <w:bCs/>
          <w:color w:val="7030A0"/>
          <w:sz w:val="28"/>
          <w:szCs w:val="28"/>
        </w:rPr>
        <w:t>Outcomes</w:t>
      </w:r>
    </w:p>
    <w:p w14:paraId="701C194D" w14:textId="5A7F12AA" w:rsidR="003A6725" w:rsidRDefault="003A6725" w:rsidP="003A6725">
      <w:r>
        <w:t>Age, frailty, dementia and co-morbidities were predictors of mastectomy (multivariable odds ratio (OR) for age 1</w:t>
      </w:r>
      <w:r>
        <w:rPr>
          <w:rFonts w:ascii="Cambria Math" w:hAnsi="Cambria Math" w:cs="Cambria Math"/>
        </w:rPr>
        <w:t>⋅</w:t>
      </w:r>
      <w:r>
        <w:t xml:space="preserve">06, 95% </w:t>
      </w:r>
      <w:proofErr w:type="spellStart"/>
      <w:r>
        <w:t>c.i.</w:t>
      </w:r>
      <w:proofErr w:type="spellEnd"/>
      <w:r>
        <w:t xml:space="preserve"> 1</w:t>
      </w:r>
      <w:r>
        <w:rPr>
          <w:rFonts w:ascii="Cambria Math" w:hAnsi="Cambria Math" w:cs="Cambria Math"/>
        </w:rPr>
        <w:t>⋅</w:t>
      </w:r>
      <w:r>
        <w:t>05 to 1</w:t>
      </w:r>
      <w:r>
        <w:rPr>
          <w:rFonts w:ascii="Cambria Math" w:hAnsi="Cambria Math" w:cs="Cambria Math"/>
        </w:rPr>
        <w:t>⋅</w:t>
      </w:r>
      <w:r>
        <w:t>08). Age, frailty and co-morbidity were significant predictors of no axillary surgery (OR for age 0</w:t>
      </w:r>
      <w:r>
        <w:rPr>
          <w:rFonts w:ascii="Cambria Math" w:hAnsi="Cambria Math" w:cs="Cambria Math"/>
        </w:rPr>
        <w:t>⋅</w:t>
      </w:r>
      <w:r>
        <w:t>91, 0</w:t>
      </w:r>
      <w:r>
        <w:rPr>
          <w:rFonts w:ascii="Cambria Math" w:hAnsi="Cambria Math" w:cs="Cambria Math"/>
        </w:rPr>
        <w:t>⋅</w:t>
      </w:r>
      <w:r>
        <w:t>87 to 0</w:t>
      </w:r>
      <w:r>
        <w:rPr>
          <w:rFonts w:ascii="Cambria Math" w:hAnsi="Cambria Math" w:cs="Cambria Math"/>
        </w:rPr>
        <w:t>⋅</w:t>
      </w:r>
      <w:r>
        <w:t>96). The rate of adverse events was moderate (551 of 2854, 19</w:t>
      </w:r>
      <w:r>
        <w:rPr>
          <w:rFonts w:ascii="Cambria Math" w:hAnsi="Cambria Math" w:cs="Cambria Math"/>
        </w:rPr>
        <w:t>⋅</w:t>
      </w:r>
      <w:r>
        <w:t>3 per cent), with no 30-day mortality. Long-term QoL and functional independence were adversely affected by surgery</w:t>
      </w:r>
      <w:r w:rsidR="00905600">
        <w:t>.</w:t>
      </w:r>
    </w:p>
    <w:p w14:paraId="57FBE7F0" w14:textId="77777777" w:rsidR="00905600" w:rsidRDefault="00905600" w:rsidP="003A6725"/>
    <w:p w14:paraId="01039DFB" w14:textId="77777777" w:rsidR="003A6725" w:rsidRPr="00905600" w:rsidRDefault="003A6725" w:rsidP="003A6725">
      <w:pPr>
        <w:rPr>
          <w:b/>
          <w:bCs/>
          <w:color w:val="7030A0"/>
          <w:sz w:val="28"/>
          <w:szCs w:val="28"/>
        </w:rPr>
      </w:pPr>
      <w:r w:rsidRPr="00905600">
        <w:rPr>
          <w:b/>
          <w:bCs/>
          <w:color w:val="7030A0"/>
          <w:sz w:val="28"/>
          <w:szCs w:val="28"/>
        </w:rPr>
        <w:t xml:space="preserve">Validity </w:t>
      </w:r>
    </w:p>
    <w:p w14:paraId="02D0552B" w14:textId="75FDB667" w:rsidR="003A6725" w:rsidRDefault="003A6725" w:rsidP="003A6725">
      <w:r>
        <w:t>Internal – following through patients, prospective with outcomes monitored over 2 years</w:t>
      </w:r>
      <w:r w:rsidR="00905600">
        <w:t>.</w:t>
      </w:r>
    </w:p>
    <w:p w14:paraId="3573C067" w14:textId="77777777" w:rsidR="00905600" w:rsidRDefault="003A6725" w:rsidP="003A6725">
      <w:r w:rsidRPr="00905600">
        <w:rPr>
          <w:b/>
          <w:bCs/>
          <w:color w:val="7030A0"/>
        </w:rPr>
        <w:t>External</w:t>
      </w:r>
      <w:r>
        <w:t xml:space="preserve"> – multicentre cohort study in UK breast units, 3375 women – would be stronger if there were international participants/centres</w:t>
      </w:r>
      <w:r w:rsidR="00905600">
        <w:t>.</w:t>
      </w:r>
    </w:p>
    <w:p w14:paraId="0D6001D5" w14:textId="6B7653A5" w:rsidR="003A6725" w:rsidRDefault="003A6725" w:rsidP="003A6725">
      <w:r>
        <w:t xml:space="preserve"> </w:t>
      </w:r>
    </w:p>
    <w:p w14:paraId="3732F1A0" w14:textId="77777777" w:rsidR="003A6725" w:rsidRPr="00905600" w:rsidRDefault="003A6725" w:rsidP="003A6725">
      <w:pPr>
        <w:rPr>
          <w:b/>
          <w:bCs/>
          <w:color w:val="7030A0"/>
          <w:sz w:val="28"/>
          <w:szCs w:val="28"/>
        </w:rPr>
      </w:pPr>
      <w:r w:rsidRPr="00905600">
        <w:rPr>
          <w:b/>
          <w:bCs/>
          <w:color w:val="7030A0"/>
          <w:sz w:val="28"/>
          <w:szCs w:val="28"/>
        </w:rPr>
        <w:t>Methods</w:t>
      </w:r>
    </w:p>
    <w:p w14:paraId="386C5CE2" w14:textId="77777777" w:rsidR="003A6725" w:rsidRDefault="003A6725" w:rsidP="003A6725">
      <w:r>
        <w:t>Prospective, multicentre cohort study</w:t>
      </w:r>
    </w:p>
    <w:p w14:paraId="30340C7D" w14:textId="124AA8F8" w:rsidR="003A6725" w:rsidRDefault="003A6725" w:rsidP="003A6725">
      <w:r>
        <w:t>Statistics – not mentioned in abstract</w:t>
      </w:r>
      <w:r w:rsidR="00905600">
        <w:t>.</w:t>
      </w:r>
    </w:p>
    <w:p w14:paraId="5540DB74" w14:textId="77777777" w:rsidR="00AA52D2" w:rsidRPr="00EF69DB" w:rsidRDefault="00AA52D2" w:rsidP="003A6725"/>
    <w:p w14:paraId="57CFEEB3" w14:textId="77777777" w:rsidR="003A6725" w:rsidRPr="00AA52D2" w:rsidRDefault="003A6725" w:rsidP="003A6725">
      <w:pPr>
        <w:rPr>
          <w:b/>
          <w:bCs/>
          <w:color w:val="7030A0"/>
          <w:sz w:val="28"/>
          <w:szCs w:val="28"/>
        </w:rPr>
      </w:pPr>
      <w:r w:rsidRPr="00AA52D2">
        <w:rPr>
          <w:b/>
          <w:bCs/>
          <w:color w:val="7030A0"/>
          <w:sz w:val="28"/>
          <w:szCs w:val="28"/>
        </w:rPr>
        <w:t xml:space="preserve">Strengths </w:t>
      </w:r>
    </w:p>
    <w:p w14:paraId="5F053A51" w14:textId="4303E2A9" w:rsidR="003A6725" w:rsidRDefault="003A6725" w:rsidP="003A6725">
      <w:r>
        <w:t xml:space="preserve">Large numbers – </w:t>
      </w:r>
      <w:r w:rsidR="00AA52D2">
        <w:t xml:space="preserve">See </w:t>
      </w:r>
      <w:r>
        <w:t xml:space="preserve">Table </w:t>
      </w:r>
      <w:r w:rsidR="00AA52D2">
        <w:t>1</w:t>
      </w:r>
      <w:r>
        <w:t xml:space="preserve"> for breakdown </w:t>
      </w:r>
    </w:p>
    <w:p w14:paraId="669B27D7" w14:textId="77777777" w:rsidR="003A6725" w:rsidRDefault="003A6725" w:rsidP="003A6725">
      <w:r>
        <w:t xml:space="preserve">Prospective study – reduces recall bias </w:t>
      </w:r>
    </w:p>
    <w:p w14:paraId="69544AF4" w14:textId="77777777" w:rsidR="003A6725" w:rsidRDefault="003A6725" w:rsidP="003A6725">
      <w:r>
        <w:t xml:space="preserve">Has ethics approval </w:t>
      </w:r>
    </w:p>
    <w:p w14:paraId="61CC6966" w14:textId="74D6F6C3" w:rsidR="003A6725" w:rsidRDefault="003A6725" w:rsidP="003A6725">
      <w:r>
        <w:t>No funding bias – no conflict of interests from private pharma compani</w:t>
      </w:r>
      <w:r w:rsidR="00AA52D2">
        <w:t>es.</w:t>
      </w:r>
    </w:p>
    <w:p w14:paraId="75C59ED5" w14:textId="77777777" w:rsidR="00AA52D2" w:rsidRPr="005402E5" w:rsidRDefault="00AA52D2" w:rsidP="003A6725">
      <w:pPr>
        <w:rPr>
          <w:vertAlign w:val="subscript"/>
        </w:rPr>
      </w:pPr>
    </w:p>
    <w:p w14:paraId="79F46A6F" w14:textId="77777777" w:rsidR="003A6725" w:rsidRPr="00AA52D2" w:rsidRDefault="003A6725" w:rsidP="003A6725">
      <w:pPr>
        <w:rPr>
          <w:b/>
          <w:bCs/>
          <w:color w:val="7030A0"/>
          <w:sz w:val="28"/>
          <w:szCs w:val="28"/>
        </w:rPr>
      </w:pPr>
      <w:r w:rsidRPr="00AA52D2">
        <w:rPr>
          <w:b/>
          <w:bCs/>
          <w:color w:val="7030A0"/>
          <w:sz w:val="28"/>
          <w:szCs w:val="28"/>
        </w:rPr>
        <w:t>Weaknesses</w:t>
      </w:r>
    </w:p>
    <w:p w14:paraId="30A4123F" w14:textId="77777777" w:rsidR="003A6725" w:rsidRDefault="003A6725" w:rsidP="003A6725">
      <w:r>
        <w:t xml:space="preserve">Cohort study – is this the right study design? Yes </w:t>
      </w:r>
    </w:p>
    <w:p w14:paraId="7E4BD86A" w14:textId="6790A045" w:rsidR="003A6725" w:rsidRDefault="003A6725" w:rsidP="003A6725">
      <w:r>
        <w:t xml:space="preserve">Attrition rates – not mentioned in abstract, refer to figure 1. Study flow chart for </w:t>
      </w:r>
      <w:proofErr w:type="gramStart"/>
      <w:r>
        <w:t xml:space="preserve">details </w:t>
      </w:r>
      <w:r w:rsidR="00AA52D2">
        <w:t>.</w:t>
      </w:r>
      <w:proofErr w:type="gramEnd"/>
    </w:p>
    <w:p w14:paraId="3EBA62A7" w14:textId="32616656" w:rsidR="003A6725" w:rsidRDefault="003A6725" w:rsidP="003A6725">
      <w:r>
        <w:t xml:space="preserve">No mention of upper limit of age of participants included </w:t>
      </w:r>
    </w:p>
    <w:p w14:paraId="5D9FC0F7" w14:textId="77777777" w:rsidR="00AA52D2" w:rsidRDefault="00AA52D2" w:rsidP="003A6725"/>
    <w:p w14:paraId="0F677C29" w14:textId="77777777" w:rsidR="003A6725" w:rsidRPr="00AA52D2" w:rsidRDefault="003A6725" w:rsidP="003A6725">
      <w:pPr>
        <w:rPr>
          <w:color w:val="7030A0"/>
          <w:sz w:val="28"/>
          <w:szCs w:val="28"/>
        </w:rPr>
      </w:pPr>
      <w:r w:rsidRPr="00AA52D2">
        <w:rPr>
          <w:b/>
          <w:bCs/>
          <w:color w:val="7030A0"/>
          <w:sz w:val="28"/>
          <w:szCs w:val="28"/>
        </w:rPr>
        <w:t>Summary</w:t>
      </w:r>
      <w:r w:rsidRPr="00AA52D2">
        <w:rPr>
          <w:color w:val="7030A0"/>
          <w:sz w:val="28"/>
          <w:szCs w:val="28"/>
        </w:rPr>
        <w:t xml:space="preserve"> </w:t>
      </w:r>
    </w:p>
    <w:p w14:paraId="1012DC0E" w14:textId="40CCFB07" w:rsidR="003A6725" w:rsidRDefault="003A6725" w:rsidP="003A6725">
      <w:r>
        <w:t>A prospective cohort study looking at Breast cancer surgery in older women – specifically comparing breast-conserving surgery and mastectomy, and Lymph node dissection versus sentinel lymph node dissection or none. On balance, I would trust in the results of the study.</w:t>
      </w:r>
    </w:p>
    <w:p w14:paraId="12C71B14" w14:textId="7B669871" w:rsidR="00AA52D2" w:rsidRDefault="00AA52D2" w:rsidP="003A6725"/>
    <w:p w14:paraId="29F32083" w14:textId="6F3305FF" w:rsidR="00AA52D2" w:rsidRDefault="00AA52D2" w:rsidP="003A6725"/>
    <w:p w14:paraId="137A019F" w14:textId="4A9CFF83" w:rsidR="00AA52D2" w:rsidRDefault="00AA52D2" w:rsidP="003A6725"/>
    <w:p w14:paraId="04031AC3" w14:textId="062659F9" w:rsidR="00AA52D2" w:rsidRDefault="00AA52D2" w:rsidP="003A6725"/>
    <w:p w14:paraId="0856629A" w14:textId="751169CF" w:rsidR="00AA52D2" w:rsidRDefault="00AA52D2" w:rsidP="003A6725"/>
    <w:p w14:paraId="38152F6C" w14:textId="1FC91A94" w:rsidR="00AA52D2" w:rsidRDefault="00AA52D2" w:rsidP="003A6725"/>
    <w:p w14:paraId="010D592A" w14:textId="782258FA" w:rsidR="00AA52D2" w:rsidRDefault="00AA52D2" w:rsidP="003A6725"/>
    <w:p w14:paraId="58BC5BEA" w14:textId="77777777" w:rsidR="00AA52D2" w:rsidRDefault="00AA52D2" w:rsidP="003A6725"/>
    <w:p w14:paraId="3E90D08A" w14:textId="77777777" w:rsidR="003A6725" w:rsidRDefault="003A6725" w:rsidP="003A6725"/>
    <w:p w14:paraId="549D1499" w14:textId="4ECE9E02" w:rsidR="003A6725" w:rsidRPr="00AA52D2" w:rsidRDefault="00AA52D2" w:rsidP="003A6725">
      <w:pPr>
        <w:rPr>
          <w:b/>
          <w:bCs/>
          <w:color w:val="7030A0"/>
        </w:rPr>
      </w:pPr>
      <w:r w:rsidRPr="00AA52D2">
        <w:rPr>
          <w:b/>
          <w:bCs/>
          <w:color w:val="7030A0"/>
        </w:rPr>
        <w:t>Table</w:t>
      </w:r>
      <w:r w:rsidR="003A6725" w:rsidRPr="00AA52D2">
        <w:rPr>
          <w:b/>
          <w:bCs/>
          <w:color w:val="7030A0"/>
        </w:rPr>
        <w:t xml:space="preserve"> 1 – Strengths and weaknesses of cohort study </w:t>
      </w:r>
    </w:p>
    <w:tbl>
      <w:tblPr>
        <w:tblStyle w:val="TableGrid"/>
        <w:tblW w:w="0" w:type="auto"/>
        <w:tblLook w:val="04A0" w:firstRow="1" w:lastRow="0" w:firstColumn="1" w:lastColumn="0" w:noHBand="0" w:noVBand="1"/>
      </w:tblPr>
      <w:tblGrid>
        <w:gridCol w:w="4251"/>
        <w:gridCol w:w="4265"/>
      </w:tblGrid>
      <w:tr w:rsidR="003A6725" w14:paraId="11CA2258" w14:textId="77777777" w:rsidTr="00544679">
        <w:tc>
          <w:tcPr>
            <w:tcW w:w="4508" w:type="dxa"/>
          </w:tcPr>
          <w:p w14:paraId="292C22F3" w14:textId="77777777" w:rsidR="003A6725" w:rsidRDefault="003A6725" w:rsidP="00544679">
            <w:r>
              <w:t>Strength</w:t>
            </w:r>
          </w:p>
        </w:tc>
        <w:tc>
          <w:tcPr>
            <w:tcW w:w="4508" w:type="dxa"/>
          </w:tcPr>
          <w:p w14:paraId="1D45974D" w14:textId="77777777" w:rsidR="003A6725" w:rsidRDefault="003A6725" w:rsidP="00544679">
            <w:r>
              <w:t>Weakness</w:t>
            </w:r>
          </w:p>
        </w:tc>
      </w:tr>
      <w:tr w:rsidR="003A6725" w14:paraId="505BE89C" w14:textId="77777777" w:rsidTr="00544679">
        <w:tc>
          <w:tcPr>
            <w:tcW w:w="4508" w:type="dxa"/>
          </w:tcPr>
          <w:p w14:paraId="12943462" w14:textId="77777777" w:rsidR="003A6725" w:rsidRDefault="003A6725" w:rsidP="00544679">
            <w:r>
              <w:t>Best way to study incidence of the outcome</w:t>
            </w:r>
          </w:p>
        </w:tc>
        <w:tc>
          <w:tcPr>
            <w:tcW w:w="4508" w:type="dxa"/>
          </w:tcPr>
          <w:p w14:paraId="5AAA3FBC" w14:textId="77777777" w:rsidR="003A6725" w:rsidRDefault="003A6725" w:rsidP="00544679">
            <w:r>
              <w:t xml:space="preserve">Often require large group of population </w:t>
            </w:r>
          </w:p>
        </w:tc>
      </w:tr>
      <w:tr w:rsidR="003A6725" w14:paraId="6ADEF003" w14:textId="77777777" w:rsidTr="00544679">
        <w:tc>
          <w:tcPr>
            <w:tcW w:w="4508" w:type="dxa"/>
          </w:tcPr>
          <w:p w14:paraId="70F7964A" w14:textId="77777777" w:rsidR="003A6725" w:rsidRDefault="003A6725" w:rsidP="00544679">
            <w:r>
              <w:t>Ideal for studying rare exposures</w:t>
            </w:r>
          </w:p>
        </w:tc>
        <w:tc>
          <w:tcPr>
            <w:tcW w:w="4508" w:type="dxa"/>
          </w:tcPr>
          <w:p w14:paraId="654D8B1E" w14:textId="77777777" w:rsidR="003A6725" w:rsidRDefault="003A6725" w:rsidP="00544679">
            <w:r>
              <w:t>Insufficient for study of rare outcomes</w:t>
            </w:r>
          </w:p>
        </w:tc>
      </w:tr>
      <w:tr w:rsidR="003A6725" w14:paraId="5E755BBA" w14:textId="77777777" w:rsidTr="00544679">
        <w:tc>
          <w:tcPr>
            <w:tcW w:w="4508" w:type="dxa"/>
          </w:tcPr>
          <w:p w14:paraId="05AA956F" w14:textId="77777777" w:rsidR="003A6725" w:rsidRDefault="003A6725" w:rsidP="00544679">
            <w:r>
              <w:t>Clear temporal sequences</w:t>
            </w:r>
          </w:p>
        </w:tc>
        <w:tc>
          <w:tcPr>
            <w:tcW w:w="4508" w:type="dxa"/>
          </w:tcPr>
          <w:p w14:paraId="7C337DFD" w14:textId="77777777" w:rsidR="003A6725" w:rsidRDefault="003A6725" w:rsidP="00544679">
            <w:r>
              <w:t>If prospective, can be nearly as resource expensive as RCTs</w:t>
            </w:r>
          </w:p>
        </w:tc>
      </w:tr>
      <w:tr w:rsidR="003A6725" w14:paraId="0C225E45" w14:textId="77777777" w:rsidTr="00544679">
        <w:tc>
          <w:tcPr>
            <w:tcW w:w="4508" w:type="dxa"/>
          </w:tcPr>
          <w:p w14:paraId="574CE27C" w14:textId="77777777" w:rsidR="003A6725" w:rsidRDefault="003A6725" w:rsidP="00544679">
            <w:r>
              <w:t>Can examine multiple effects from a single exposure</w:t>
            </w:r>
          </w:p>
        </w:tc>
        <w:tc>
          <w:tcPr>
            <w:tcW w:w="4508" w:type="dxa"/>
          </w:tcPr>
          <w:p w14:paraId="3B9988D0" w14:textId="77777777" w:rsidR="003A6725" w:rsidRDefault="003A6725" w:rsidP="00544679">
            <w:r>
              <w:t>If retrospective, is dependent on adequacy of records</w:t>
            </w:r>
          </w:p>
        </w:tc>
      </w:tr>
      <w:tr w:rsidR="003A6725" w14:paraId="2FEA2040" w14:textId="77777777" w:rsidTr="00544679">
        <w:tc>
          <w:tcPr>
            <w:tcW w:w="4508" w:type="dxa"/>
          </w:tcPr>
          <w:p w14:paraId="1D873437" w14:textId="77777777" w:rsidR="003A6725" w:rsidRDefault="003A6725" w:rsidP="00544679">
            <w:r>
              <w:t>Minimise selection and information bias</w:t>
            </w:r>
          </w:p>
        </w:tc>
        <w:tc>
          <w:tcPr>
            <w:tcW w:w="4508" w:type="dxa"/>
          </w:tcPr>
          <w:p w14:paraId="66EAEFD4" w14:textId="77777777" w:rsidR="003A6725" w:rsidRDefault="003A6725" w:rsidP="00544679">
            <w:r>
              <w:t xml:space="preserve">Results highly sensitive to loss to </w:t>
            </w:r>
            <w:proofErr w:type="spellStart"/>
            <w:r>
              <w:t>followup</w:t>
            </w:r>
            <w:proofErr w:type="spellEnd"/>
            <w:r>
              <w:t xml:space="preserve"> </w:t>
            </w:r>
          </w:p>
          <w:p w14:paraId="5DFF8DA7" w14:textId="77777777" w:rsidR="003A6725" w:rsidRDefault="003A6725" w:rsidP="00544679">
            <w:r>
              <w:t>Sometimes very difficult to follow the subjects</w:t>
            </w:r>
          </w:p>
        </w:tc>
      </w:tr>
      <w:tr w:rsidR="003A6725" w14:paraId="6482270A" w14:textId="77777777" w:rsidTr="00544679">
        <w:tc>
          <w:tcPr>
            <w:tcW w:w="4508" w:type="dxa"/>
          </w:tcPr>
          <w:p w14:paraId="43E41642" w14:textId="77777777" w:rsidR="003A6725" w:rsidRDefault="003A6725" w:rsidP="00544679">
            <w:r>
              <w:t>Sometimes the best or only ethical way to do the study</w:t>
            </w:r>
          </w:p>
          <w:p w14:paraId="2036C81B" w14:textId="77777777" w:rsidR="003A6725" w:rsidRDefault="003A6725" w:rsidP="00544679">
            <w:r>
              <w:t>*especially those which cannot /should not randomise</w:t>
            </w:r>
          </w:p>
        </w:tc>
        <w:tc>
          <w:tcPr>
            <w:tcW w:w="4508" w:type="dxa"/>
          </w:tcPr>
          <w:p w14:paraId="70A77D63" w14:textId="77777777" w:rsidR="003A6725" w:rsidRDefault="003A6725" w:rsidP="00544679"/>
        </w:tc>
      </w:tr>
    </w:tbl>
    <w:p w14:paraId="180AA5F8" w14:textId="77777777" w:rsidR="006F68CB" w:rsidRDefault="006F68CB" w:rsidP="00175D2B">
      <w:pPr>
        <w:contextualSpacing/>
        <w:rPr>
          <w:b/>
          <w:bCs/>
        </w:rPr>
      </w:pPr>
    </w:p>
    <w:p w14:paraId="6E24ABF4" w14:textId="77777777" w:rsidR="006F68CB" w:rsidRPr="00B07BF4" w:rsidRDefault="006F68CB" w:rsidP="00175D2B">
      <w:pPr>
        <w:contextualSpacing/>
        <w:rPr>
          <w:b/>
          <w:bCs/>
        </w:rPr>
      </w:pPr>
    </w:p>
    <w:p w14:paraId="6EC71C81" w14:textId="1E248AE1" w:rsidR="00A11051" w:rsidRDefault="00A11051" w:rsidP="00A11051">
      <w:pPr>
        <w:contextualSpacing/>
        <w:jc w:val="center"/>
        <w:rPr>
          <w:b/>
          <w:bCs/>
        </w:rPr>
      </w:pPr>
    </w:p>
    <w:p w14:paraId="32629C22" w14:textId="4255565B" w:rsidR="00E13847" w:rsidRPr="001430D0" w:rsidRDefault="00E13847" w:rsidP="00E13847">
      <w:pPr>
        <w:jc w:val="center"/>
        <w:rPr>
          <w:b/>
          <w:bCs/>
          <w:color w:val="7030A0"/>
          <w:sz w:val="36"/>
          <w:szCs w:val="36"/>
        </w:rPr>
      </w:pPr>
      <w:r w:rsidRPr="001430D0">
        <w:rPr>
          <w:b/>
          <w:bCs/>
          <w:color w:val="7030A0"/>
          <w:sz w:val="36"/>
          <w:szCs w:val="36"/>
        </w:rPr>
        <w:t xml:space="preserve">MMJ Journal Club Session </w:t>
      </w:r>
      <w:r>
        <w:rPr>
          <w:b/>
          <w:bCs/>
          <w:color w:val="7030A0"/>
          <w:sz w:val="36"/>
          <w:szCs w:val="36"/>
        </w:rPr>
        <w:t>7</w:t>
      </w:r>
      <w:r w:rsidRPr="001430D0">
        <w:rPr>
          <w:b/>
          <w:bCs/>
          <w:color w:val="7030A0"/>
          <w:sz w:val="36"/>
          <w:szCs w:val="36"/>
        </w:rPr>
        <w:t xml:space="preserve">: </w:t>
      </w:r>
      <w:r>
        <w:rPr>
          <w:b/>
          <w:bCs/>
          <w:color w:val="7030A0"/>
          <w:sz w:val="36"/>
          <w:szCs w:val="36"/>
        </w:rPr>
        <w:t>30</w:t>
      </w:r>
      <w:r w:rsidRPr="001430D0">
        <w:rPr>
          <w:b/>
          <w:bCs/>
          <w:color w:val="7030A0"/>
          <w:sz w:val="36"/>
          <w:szCs w:val="36"/>
        </w:rPr>
        <w:t>/1</w:t>
      </w:r>
      <w:r>
        <w:rPr>
          <w:b/>
          <w:bCs/>
          <w:color w:val="7030A0"/>
          <w:sz w:val="36"/>
          <w:szCs w:val="36"/>
        </w:rPr>
        <w:t>1</w:t>
      </w:r>
      <w:r w:rsidRPr="001430D0">
        <w:rPr>
          <w:b/>
          <w:bCs/>
          <w:color w:val="7030A0"/>
          <w:sz w:val="36"/>
          <w:szCs w:val="36"/>
        </w:rPr>
        <w:t>/2020</w:t>
      </w:r>
    </w:p>
    <w:p w14:paraId="0C0C8B9D" w14:textId="77777777" w:rsidR="00E13847" w:rsidRPr="00B7497F" w:rsidRDefault="00E13847" w:rsidP="00E13847">
      <w:pPr>
        <w:spacing w:before="240" w:after="240"/>
        <w:contextualSpacing/>
        <w:rPr>
          <w:sz w:val="22"/>
          <w:szCs w:val="22"/>
        </w:rPr>
      </w:pPr>
    </w:p>
    <w:p w14:paraId="5854AF8B" w14:textId="65D2CAC8" w:rsidR="00E13847" w:rsidRPr="00E13847" w:rsidRDefault="00E13847" w:rsidP="00E13847">
      <w:pPr>
        <w:jc w:val="center"/>
        <w:rPr>
          <w:rStyle w:val="authors-list-item"/>
          <w:rFonts w:cs="Segoe UI"/>
          <w:color w:val="000000" w:themeColor="text1"/>
          <w:shd w:val="clear" w:color="auto" w:fill="FFFFFF"/>
        </w:rPr>
      </w:pPr>
      <w:r w:rsidRPr="00E13847">
        <w:rPr>
          <w:b/>
          <w:bCs/>
          <w:sz w:val="28"/>
          <w:szCs w:val="28"/>
        </w:rPr>
        <w:t>Sentinel Lymph Node Biopsy for Oral Squamous Cell Car</w:t>
      </w:r>
      <w:r>
        <w:rPr>
          <w:b/>
          <w:bCs/>
          <w:sz w:val="28"/>
          <w:szCs w:val="28"/>
        </w:rPr>
        <w:t>cinoma. Where Are We Now?</w:t>
      </w:r>
    </w:p>
    <w:p w14:paraId="43DF5976" w14:textId="6A83D819" w:rsidR="00E13847" w:rsidRPr="00954D09" w:rsidRDefault="00E13847" w:rsidP="00E13847">
      <w:pPr>
        <w:jc w:val="center"/>
        <w:rPr>
          <w:rFonts w:cs="Segoe UI"/>
          <w:color w:val="000000" w:themeColor="text1"/>
          <w:shd w:val="clear" w:color="auto" w:fill="FFFFFF"/>
          <w:lang w:val="fr-FR"/>
        </w:rPr>
      </w:pPr>
      <w:r w:rsidRPr="00E13847">
        <w:rPr>
          <w:rStyle w:val="authors-list-item"/>
          <w:rFonts w:cs="Segoe UI"/>
          <w:color w:val="000000" w:themeColor="text1"/>
          <w:shd w:val="clear" w:color="auto" w:fill="FFFFFF"/>
          <w:lang w:val="nl-NL"/>
        </w:rPr>
        <w:t xml:space="preserve">C. Schilling, R. Shaw, </w:t>
      </w:r>
      <w:r>
        <w:rPr>
          <w:rStyle w:val="authors-list-item"/>
          <w:rFonts w:cs="Segoe UI"/>
          <w:color w:val="000000" w:themeColor="text1"/>
          <w:shd w:val="clear" w:color="auto" w:fill="FFFFFF"/>
          <w:lang w:val="nl-NL"/>
        </w:rPr>
        <w:t xml:space="preserve">A. </w:t>
      </w:r>
      <w:proofErr w:type="spellStart"/>
      <w:r>
        <w:rPr>
          <w:rStyle w:val="authors-list-item"/>
          <w:rFonts w:cs="Segoe UI"/>
          <w:color w:val="000000" w:themeColor="text1"/>
          <w:shd w:val="clear" w:color="auto" w:fill="FFFFFF"/>
          <w:lang w:val="nl-NL"/>
        </w:rPr>
        <w:t>Schache</w:t>
      </w:r>
      <w:proofErr w:type="spellEnd"/>
      <w:r w:rsidRPr="00E13847">
        <w:rPr>
          <w:rStyle w:val="authors-list-item"/>
          <w:rFonts w:cs="Segoe UI"/>
          <w:color w:val="000000" w:themeColor="text1"/>
          <w:shd w:val="clear" w:color="auto" w:fill="FFFFFF"/>
          <w:lang w:val="nl-NL"/>
        </w:rPr>
        <w:t xml:space="preserve"> </w:t>
      </w:r>
      <w:r w:rsidRPr="00E13847">
        <w:rPr>
          <w:rStyle w:val="authors-list-item"/>
          <w:rFonts w:cs="Segoe UI"/>
          <w:i/>
          <w:iCs/>
          <w:color w:val="000000" w:themeColor="text1"/>
          <w:shd w:val="clear" w:color="auto" w:fill="FFFFFF"/>
          <w:lang w:val="nl-NL"/>
        </w:rPr>
        <w:t>et al.</w:t>
      </w:r>
      <w:r w:rsidRPr="00E13847">
        <w:rPr>
          <w:rStyle w:val="authors-list-item"/>
          <w:rFonts w:cs="Segoe UI"/>
          <w:color w:val="000000" w:themeColor="text1"/>
          <w:shd w:val="clear" w:color="auto" w:fill="FFFFFF"/>
          <w:lang w:val="nl-NL"/>
        </w:rPr>
        <w:t xml:space="preserve"> </w:t>
      </w:r>
      <w:r w:rsidRPr="00954D09">
        <w:rPr>
          <w:rStyle w:val="authors-list-item"/>
          <w:rFonts w:cs="Segoe UI"/>
          <w:color w:val="000000" w:themeColor="text1"/>
          <w:shd w:val="clear" w:color="auto" w:fill="FFFFFF"/>
          <w:lang w:val="fr-FR"/>
        </w:rPr>
        <w:t xml:space="preserve">Br J Oral </w:t>
      </w:r>
      <w:proofErr w:type="spellStart"/>
      <w:r w:rsidRPr="00954D09">
        <w:rPr>
          <w:rStyle w:val="authors-list-item"/>
          <w:rFonts w:cs="Segoe UI"/>
          <w:color w:val="000000" w:themeColor="text1"/>
          <w:shd w:val="clear" w:color="auto" w:fill="FFFFFF"/>
          <w:lang w:val="fr-FR"/>
        </w:rPr>
        <w:t>Maxillofac</w:t>
      </w:r>
      <w:proofErr w:type="spellEnd"/>
      <w:r w:rsidRPr="00954D09">
        <w:rPr>
          <w:rStyle w:val="authors-list-item"/>
          <w:rFonts w:cs="Segoe UI"/>
          <w:color w:val="000000" w:themeColor="text1"/>
          <w:shd w:val="clear" w:color="auto" w:fill="FFFFFF"/>
          <w:lang w:val="fr-FR"/>
        </w:rPr>
        <w:t xml:space="preserve"> </w:t>
      </w:r>
      <w:proofErr w:type="spellStart"/>
      <w:r w:rsidRPr="00954D09">
        <w:rPr>
          <w:rStyle w:val="authors-list-item"/>
          <w:rFonts w:cs="Segoe UI"/>
          <w:color w:val="000000" w:themeColor="text1"/>
          <w:shd w:val="clear" w:color="auto" w:fill="FFFFFF"/>
          <w:lang w:val="fr-FR"/>
        </w:rPr>
        <w:t>Surg</w:t>
      </w:r>
      <w:proofErr w:type="spellEnd"/>
      <w:r w:rsidRPr="00954D09">
        <w:rPr>
          <w:rStyle w:val="authors-list-item"/>
          <w:rFonts w:cs="Segoe UI"/>
          <w:color w:val="000000" w:themeColor="text1"/>
          <w:shd w:val="clear" w:color="auto" w:fill="FFFFFF"/>
          <w:lang w:val="fr-FR"/>
        </w:rPr>
        <w:t xml:space="preserve"> (</w:t>
      </w:r>
      <w:r w:rsidRPr="00954D09">
        <w:rPr>
          <w:rStyle w:val="authors-list-item"/>
          <w:rFonts w:cs="Segoe UI"/>
          <w:color w:val="000000" w:themeColor="text1"/>
          <w:shd w:val="clear" w:color="auto" w:fill="FFFFFF"/>
          <w:lang w:val="fr-FR"/>
        </w:rPr>
        <w:t>2017</w:t>
      </w:r>
      <w:r w:rsidRPr="00954D09">
        <w:rPr>
          <w:rStyle w:val="authors-list-item"/>
          <w:rFonts w:cs="Segoe UI"/>
          <w:color w:val="000000" w:themeColor="text1"/>
          <w:shd w:val="clear" w:color="auto" w:fill="FFFFFF"/>
          <w:lang w:val="fr-FR"/>
        </w:rPr>
        <w:t>)</w:t>
      </w:r>
      <w:r w:rsidRPr="00954D09">
        <w:rPr>
          <w:rStyle w:val="authors-list-item"/>
          <w:rFonts w:cs="Segoe UI"/>
          <w:color w:val="000000" w:themeColor="text1"/>
          <w:shd w:val="clear" w:color="auto" w:fill="FFFFFF"/>
          <w:lang w:val="fr-FR"/>
        </w:rPr>
        <w:t xml:space="preserve"> 55(8</w:t>
      </w:r>
      <w:proofErr w:type="gramStart"/>
      <w:r w:rsidRPr="00954D09">
        <w:rPr>
          <w:rStyle w:val="authors-list-item"/>
          <w:rFonts w:cs="Segoe UI"/>
          <w:color w:val="000000" w:themeColor="text1"/>
          <w:shd w:val="clear" w:color="auto" w:fill="FFFFFF"/>
          <w:lang w:val="fr-FR"/>
        </w:rPr>
        <w:t>):</w:t>
      </w:r>
      <w:proofErr w:type="gramEnd"/>
      <w:r w:rsidRPr="00954D09">
        <w:rPr>
          <w:rStyle w:val="authors-list-item"/>
          <w:rFonts w:cs="Segoe UI"/>
          <w:color w:val="000000" w:themeColor="text1"/>
          <w:shd w:val="clear" w:color="auto" w:fill="FFFFFF"/>
          <w:lang w:val="fr-FR"/>
        </w:rPr>
        <w:t>757-762</w:t>
      </w:r>
      <w:r w:rsidRPr="00954D09">
        <w:rPr>
          <w:rStyle w:val="authors-list-item"/>
          <w:rFonts w:cs="Segoe UI"/>
          <w:color w:val="000000" w:themeColor="text1"/>
          <w:shd w:val="clear" w:color="auto" w:fill="FFFFFF"/>
          <w:lang w:val="fr-FR"/>
        </w:rPr>
        <w:t>.</w:t>
      </w:r>
    </w:p>
    <w:p w14:paraId="6A77E845" w14:textId="77777777" w:rsidR="00E13847" w:rsidRPr="00954D09" w:rsidRDefault="00E13847" w:rsidP="00E13847">
      <w:pPr>
        <w:contextualSpacing/>
        <w:jc w:val="center"/>
        <w:rPr>
          <w:lang w:val="fr-FR"/>
        </w:rPr>
      </w:pPr>
    </w:p>
    <w:p w14:paraId="15168832" w14:textId="238389B0" w:rsidR="00E13847" w:rsidRDefault="00E13847" w:rsidP="00E13847">
      <w:pPr>
        <w:contextualSpacing/>
        <w:jc w:val="center"/>
        <w:rPr>
          <w:b/>
          <w:bCs/>
        </w:rPr>
      </w:pPr>
      <w:r w:rsidRPr="00B07BF4">
        <w:rPr>
          <w:b/>
          <w:bCs/>
        </w:rPr>
        <w:t xml:space="preserve">Analysis by: </w:t>
      </w:r>
      <w:r w:rsidR="00954D09">
        <w:rPr>
          <w:b/>
          <w:bCs/>
        </w:rPr>
        <w:t>Aysha M Nijamudeen</w:t>
      </w:r>
    </w:p>
    <w:p w14:paraId="0845ED8C" w14:textId="7DB6C7B5" w:rsidR="00954D09" w:rsidRDefault="00954D09" w:rsidP="00E13847">
      <w:pPr>
        <w:contextualSpacing/>
        <w:jc w:val="center"/>
        <w:rPr>
          <w:b/>
          <w:bCs/>
        </w:rPr>
      </w:pPr>
    </w:p>
    <w:p w14:paraId="30123DE1" w14:textId="77777777" w:rsidR="00EB39B4" w:rsidRPr="003A6725" w:rsidRDefault="00EB39B4" w:rsidP="00EB39B4">
      <w:pPr>
        <w:rPr>
          <w:b/>
          <w:bCs/>
          <w:color w:val="7030A0"/>
          <w:sz w:val="28"/>
          <w:szCs w:val="28"/>
        </w:rPr>
      </w:pPr>
      <w:r w:rsidRPr="003A6725">
        <w:rPr>
          <w:b/>
          <w:bCs/>
          <w:color w:val="7030A0"/>
          <w:sz w:val="28"/>
          <w:szCs w:val="28"/>
        </w:rPr>
        <w:t>Type of study</w:t>
      </w:r>
    </w:p>
    <w:p w14:paraId="46DCB748" w14:textId="02CFDA16" w:rsidR="00EB39B4" w:rsidRDefault="00EB39B4" w:rsidP="00EB39B4">
      <w:r>
        <w:t>Literature Review.</w:t>
      </w:r>
    </w:p>
    <w:p w14:paraId="1C701721" w14:textId="77777777" w:rsidR="00EB39B4" w:rsidRDefault="00EB39B4" w:rsidP="00EB39B4"/>
    <w:p w14:paraId="13341BE4" w14:textId="77777777" w:rsidR="00EB39B4" w:rsidRPr="003A6725" w:rsidRDefault="00EB39B4" w:rsidP="00EB39B4">
      <w:pPr>
        <w:rPr>
          <w:b/>
          <w:bCs/>
          <w:color w:val="7030A0"/>
          <w:sz w:val="28"/>
          <w:szCs w:val="28"/>
        </w:rPr>
      </w:pPr>
      <w:r w:rsidRPr="003A6725">
        <w:rPr>
          <w:b/>
          <w:bCs/>
          <w:color w:val="7030A0"/>
          <w:sz w:val="28"/>
          <w:szCs w:val="28"/>
        </w:rPr>
        <w:t xml:space="preserve">Population </w:t>
      </w:r>
    </w:p>
    <w:p w14:paraId="3A945E0A" w14:textId="6C045193" w:rsidR="00B336E0" w:rsidRPr="00B336E0" w:rsidRDefault="00EB39B4" w:rsidP="00B336E0">
      <w:r w:rsidRPr="00EB39B4">
        <w:rPr>
          <w:lang w:val="en-US"/>
        </w:rPr>
        <w:t xml:space="preserve">Patients with an oropharyngeal SCC- papers from multiple </w:t>
      </w:r>
      <w:proofErr w:type="spellStart"/>
      <w:r w:rsidRPr="00EB39B4">
        <w:rPr>
          <w:lang w:val="en-US"/>
        </w:rPr>
        <w:t>centres</w:t>
      </w:r>
      <w:proofErr w:type="spellEnd"/>
      <w:r>
        <w:rPr>
          <w:lang w:val="en-US"/>
        </w:rPr>
        <w:t xml:space="preserve"> </w:t>
      </w:r>
      <w:proofErr w:type="spellStart"/>
      <w:r>
        <w:rPr>
          <w:lang w:val="en-US"/>
        </w:rPr>
        <w:t>analysed</w:t>
      </w:r>
      <w:proofErr w:type="spellEnd"/>
      <w:r w:rsidRPr="00EB39B4">
        <w:rPr>
          <w:lang w:val="en-US"/>
        </w:rPr>
        <w:t xml:space="preserve"> with varying timescales</w:t>
      </w:r>
      <w:r>
        <w:rPr>
          <w:lang w:val="en-US"/>
        </w:rPr>
        <w:t xml:space="preserve"> of follow- up.</w:t>
      </w:r>
      <w:r w:rsidR="00B336E0">
        <w:rPr>
          <w:lang w:val="en-US"/>
        </w:rPr>
        <w:t xml:space="preserve"> </w:t>
      </w:r>
      <w:r w:rsidR="00B336E0" w:rsidRPr="00B336E0">
        <w:rPr>
          <w:lang w:val="en-US"/>
        </w:rPr>
        <w:t>1240 patients from 8 landmark papers</w:t>
      </w:r>
      <w:r w:rsidR="00B336E0">
        <w:rPr>
          <w:lang w:val="en-US"/>
        </w:rPr>
        <w:t xml:space="preserve"> included. </w:t>
      </w:r>
    </w:p>
    <w:p w14:paraId="1686B71D" w14:textId="77777777" w:rsidR="00EB39B4" w:rsidRDefault="00EB39B4" w:rsidP="00EB39B4"/>
    <w:p w14:paraId="03BDE024" w14:textId="77777777" w:rsidR="00EB39B4" w:rsidRPr="00F92546" w:rsidRDefault="00EB39B4" w:rsidP="00EB39B4">
      <w:pPr>
        <w:rPr>
          <w:b/>
          <w:bCs/>
          <w:color w:val="7030A0"/>
          <w:sz w:val="28"/>
          <w:szCs w:val="28"/>
          <w:lang w:val="fr-FR"/>
        </w:rPr>
      </w:pPr>
      <w:r w:rsidRPr="00F92546">
        <w:rPr>
          <w:b/>
          <w:bCs/>
          <w:color w:val="7030A0"/>
          <w:sz w:val="28"/>
          <w:szCs w:val="28"/>
          <w:lang w:val="fr-FR"/>
        </w:rPr>
        <w:t xml:space="preserve">Intervention </w:t>
      </w:r>
    </w:p>
    <w:p w14:paraId="4544FC20" w14:textId="0B08794E" w:rsidR="00EB39B4" w:rsidRPr="00EB39B4" w:rsidRDefault="00EB39B4" w:rsidP="00EB39B4">
      <w:pPr>
        <w:rPr>
          <w:lang w:val="fr-FR"/>
        </w:rPr>
      </w:pPr>
      <w:proofErr w:type="spellStart"/>
      <w:r w:rsidRPr="00EB39B4">
        <w:rPr>
          <w:lang w:val="fr-FR"/>
        </w:rPr>
        <w:t>Sentinel</w:t>
      </w:r>
      <w:proofErr w:type="spellEnd"/>
      <w:r w:rsidRPr="00EB39B4">
        <w:rPr>
          <w:lang w:val="fr-FR"/>
        </w:rPr>
        <w:t xml:space="preserve"> </w:t>
      </w:r>
      <w:proofErr w:type="spellStart"/>
      <w:r w:rsidRPr="00EB39B4">
        <w:rPr>
          <w:lang w:val="fr-FR"/>
        </w:rPr>
        <w:t>Lymph</w:t>
      </w:r>
      <w:proofErr w:type="spellEnd"/>
      <w:r w:rsidRPr="00EB39B4">
        <w:rPr>
          <w:lang w:val="fr-FR"/>
        </w:rPr>
        <w:t xml:space="preserve"> </w:t>
      </w:r>
      <w:proofErr w:type="spellStart"/>
      <w:r w:rsidRPr="00EB39B4">
        <w:rPr>
          <w:lang w:val="fr-FR"/>
        </w:rPr>
        <w:t>Node</w:t>
      </w:r>
      <w:proofErr w:type="spellEnd"/>
      <w:r w:rsidRPr="00EB39B4">
        <w:rPr>
          <w:lang w:val="fr-FR"/>
        </w:rPr>
        <w:t xml:space="preserve"> </w:t>
      </w:r>
      <w:proofErr w:type="spellStart"/>
      <w:r w:rsidRPr="00EB39B4">
        <w:rPr>
          <w:lang w:val="fr-FR"/>
        </w:rPr>
        <w:t>Biopsy</w:t>
      </w:r>
      <w:proofErr w:type="spellEnd"/>
      <w:r w:rsidRPr="00EB39B4">
        <w:rPr>
          <w:lang w:val="fr-FR"/>
        </w:rPr>
        <w:t xml:space="preserve"> </w:t>
      </w:r>
      <w:r w:rsidR="00F92546" w:rsidRPr="00F92546">
        <w:rPr>
          <w:lang w:val="fr-FR"/>
        </w:rPr>
        <w:t>(SLNB</w:t>
      </w:r>
      <w:r w:rsidR="00F92546">
        <w:rPr>
          <w:lang w:val="fr-FR"/>
        </w:rPr>
        <w:t xml:space="preserve">) </w:t>
      </w:r>
      <w:r w:rsidRPr="00EB39B4">
        <w:rPr>
          <w:lang w:val="fr-FR"/>
        </w:rPr>
        <w:t xml:space="preserve">for T1/T2 </w:t>
      </w:r>
      <w:proofErr w:type="spellStart"/>
      <w:r w:rsidRPr="00EB39B4">
        <w:rPr>
          <w:lang w:val="fr-FR"/>
        </w:rPr>
        <w:t>clinically</w:t>
      </w:r>
      <w:proofErr w:type="spellEnd"/>
      <w:r w:rsidRPr="00EB39B4">
        <w:rPr>
          <w:lang w:val="fr-FR"/>
        </w:rPr>
        <w:t xml:space="preserve"> N0 patients</w:t>
      </w:r>
      <w:r w:rsidRPr="00F92546">
        <w:rPr>
          <w:lang w:val="fr-FR"/>
        </w:rPr>
        <w:t>.</w:t>
      </w:r>
    </w:p>
    <w:p w14:paraId="55C57C66" w14:textId="77777777" w:rsidR="00EB39B4" w:rsidRPr="00F92546" w:rsidRDefault="00EB39B4" w:rsidP="00EB39B4">
      <w:pPr>
        <w:rPr>
          <w:lang w:val="fr-FR"/>
        </w:rPr>
      </w:pPr>
    </w:p>
    <w:p w14:paraId="10648CC9" w14:textId="77777777" w:rsidR="00EB39B4" w:rsidRPr="003A6725" w:rsidRDefault="00EB39B4" w:rsidP="00EB39B4">
      <w:pPr>
        <w:rPr>
          <w:b/>
          <w:bCs/>
          <w:color w:val="7030A0"/>
          <w:sz w:val="28"/>
          <w:szCs w:val="28"/>
        </w:rPr>
      </w:pPr>
      <w:r w:rsidRPr="003A6725">
        <w:rPr>
          <w:b/>
          <w:bCs/>
          <w:color w:val="7030A0"/>
          <w:sz w:val="28"/>
          <w:szCs w:val="28"/>
        </w:rPr>
        <w:t xml:space="preserve">Comparison/Control </w:t>
      </w:r>
    </w:p>
    <w:p w14:paraId="491A41AB" w14:textId="73573D13" w:rsidR="00EB39B4" w:rsidRPr="00EB39B4" w:rsidRDefault="00EB39B4" w:rsidP="00EB39B4">
      <w:r w:rsidRPr="00EB39B4">
        <w:rPr>
          <w:lang w:val="en-US"/>
        </w:rPr>
        <w:t>Sensitivity and specificity of local metastasis compared to that of having an elective neck dissection (current best practice)</w:t>
      </w:r>
      <w:r>
        <w:rPr>
          <w:lang w:val="en-US"/>
        </w:rPr>
        <w:t>.</w:t>
      </w:r>
    </w:p>
    <w:p w14:paraId="63840BAB" w14:textId="77777777" w:rsidR="00EB39B4" w:rsidRDefault="00EB39B4" w:rsidP="00EB39B4"/>
    <w:p w14:paraId="5BC08E3D" w14:textId="77777777" w:rsidR="00EB39B4" w:rsidRPr="003A6725" w:rsidRDefault="00EB39B4" w:rsidP="00EB39B4">
      <w:pPr>
        <w:rPr>
          <w:b/>
          <w:bCs/>
          <w:color w:val="7030A0"/>
          <w:sz w:val="28"/>
          <w:szCs w:val="28"/>
        </w:rPr>
      </w:pPr>
      <w:r w:rsidRPr="003A6725">
        <w:rPr>
          <w:b/>
          <w:bCs/>
          <w:color w:val="7030A0"/>
          <w:sz w:val="28"/>
          <w:szCs w:val="28"/>
        </w:rPr>
        <w:t>Outcomes</w:t>
      </w:r>
    </w:p>
    <w:p w14:paraId="1F75198E" w14:textId="10F73AF9" w:rsidR="00A81D16" w:rsidRDefault="0044398E" w:rsidP="00A81D16">
      <w:r>
        <w:rPr>
          <w:lang w:val="en-US"/>
        </w:rPr>
        <w:lastRenderedPageBreak/>
        <w:t xml:space="preserve">Found the </w:t>
      </w:r>
      <w:r w:rsidR="00F92546">
        <w:rPr>
          <w:lang w:val="en-US"/>
        </w:rPr>
        <w:t>SLNB</w:t>
      </w:r>
      <w:r>
        <w:rPr>
          <w:lang w:val="en-US"/>
        </w:rPr>
        <w:t xml:space="preserve"> to have a s</w:t>
      </w:r>
      <w:r w:rsidR="00B336E0" w:rsidRPr="00B336E0">
        <w:rPr>
          <w:lang w:val="en-US"/>
        </w:rPr>
        <w:t>ensitivity of 84-96%</w:t>
      </w:r>
      <w:r>
        <w:t xml:space="preserve">, </w:t>
      </w:r>
      <w:r>
        <w:rPr>
          <w:lang w:val="en-US"/>
        </w:rPr>
        <w:t>f</w:t>
      </w:r>
      <w:r w:rsidR="00B336E0" w:rsidRPr="00B336E0">
        <w:rPr>
          <w:lang w:val="en-US"/>
        </w:rPr>
        <w:t>alse negative rate 10.3%</w:t>
      </w:r>
      <w:r>
        <w:rPr>
          <w:lang w:val="en-US"/>
        </w:rPr>
        <w:t>.</w:t>
      </w:r>
      <w:r>
        <w:t xml:space="preserve"> </w:t>
      </w:r>
      <w:r w:rsidR="00B336E0" w:rsidRPr="00B336E0">
        <w:rPr>
          <w:lang w:val="en-US"/>
        </w:rPr>
        <w:t xml:space="preserve">Use of the </w:t>
      </w:r>
      <w:proofErr w:type="spellStart"/>
      <w:r w:rsidR="00B336E0" w:rsidRPr="00B336E0">
        <w:rPr>
          <w:lang w:val="en-US"/>
        </w:rPr>
        <w:t>Lymphoseek</w:t>
      </w:r>
      <w:proofErr w:type="spellEnd"/>
      <w:r w:rsidR="00B336E0" w:rsidRPr="00B336E0">
        <w:rPr>
          <w:lang w:val="en-US"/>
        </w:rPr>
        <w:t>© tracer reduced the false –</w:t>
      </w:r>
      <w:proofErr w:type="spellStart"/>
      <w:r w:rsidR="00B336E0" w:rsidRPr="00B336E0">
        <w:rPr>
          <w:lang w:val="en-US"/>
        </w:rPr>
        <w:t>ve</w:t>
      </w:r>
      <w:proofErr w:type="spellEnd"/>
      <w:r w:rsidR="00B336E0" w:rsidRPr="00B336E0">
        <w:rPr>
          <w:lang w:val="en-US"/>
        </w:rPr>
        <w:t xml:space="preserve"> rate to 2.56% (needs further studies)</w:t>
      </w:r>
      <w:r>
        <w:rPr>
          <w:lang w:val="en-US"/>
        </w:rPr>
        <w:t>.</w:t>
      </w:r>
    </w:p>
    <w:p w14:paraId="2B03A6D1" w14:textId="42DFC982" w:rsidR="00B336E0" w:rsidRPr="00B336E0" w:rsidRDefault="00B336E0" w:rsidP="00A81D16">
      <w:r w:rsidRPr="00B336E0">
        <w:rPr>
          <w:lang w:val="en-US"/>
        </w:rPr>
        <w:t>Snapshot survey of clinicians’ management preferences- 54% W</w:t>
      </w:r>
      <w:r w:rsidR="00A81D16">
        <w:rPr>
          <w:lang w:val="en-US"/>
        </w:rPr>
        <w:t>ide Local Excision</w:t>
      </w:r>
      <w:r w:rsidRPr="00B336E0">
        <w:rPr>
          <w:lang w:val="en-US"/>
        </w:rPr>
        <w:t xml:space="preserve"> &amp; </w:t>
      </w:r>
      <w:r w:rsidR="00F92546">
        <w:rPr>
          <w:lang w:val="en-US"/>
        </w:rPr>
        <w:t>SLNB</w:t>
      </w:r>
      <w:r w:rsidRPr="00B336E0">
        <w:rPr>
          <w:lang w:val="en-US"/>
        </w:rPr>
        <w:t>, 45% W</w:t>
      </w:r>
      <w:r w:rsidR="00A81D16">
        <w:rPr>
          <w:lang w:val="en-US"/>
        </w:rPr>
        <w:t xml:space="preserve">ide </w:t>
      </w:r>
      <w:r w:rsidRPr="00B336E0">
        <w:rPr>
          <w:lang w:val="en-US"/>
        </w:rPr>
        <w:t>L</w:t>
      </w:r>
      <w:r w:rsidR="00A81D16">
        <w:rPr>
          <w:lang w:val="en-US"/>
        </w:rPr>
        <w:t xml:space="preserve">ocal </w:t>
      </w:r>
      <w:r w:rsidRPr="00B336E0">
        <w:rPr>
          <w:lang w:val="en-US"/>
        </w:rPr>
        <w:t>E</w:t>
      </w:r>
      <w:r w:rsidR="00A81D16">
        <w:rPr>
          <w:lang w:val="en-US"/>
        </w:rPr>
        <w:t>xcision</w:t>
      </w:r>
      <w:r w:rsidRPr="00B336E0">
        <w:rPr>
          <w:lang w:val="en-US"/>
        </w:rPr>
        <w:t xml:space="preserve"> and USS surveillance</w:t>
      </w:r>
      <w:r w:rsidR="00A81D16">
        <w:t xml:space="preserve">. A </w:t>
      </w:r>
      <w:r w:rsidR="00A81D16">
        <w:rPr>
          <w:lang w:val="en-US"/>
        </w:rPr>
        <w:t>t</w:t>
      </w:r>
      <w:r w:rsidRPr="00B336E0">
        <w:rPr>
          <w:lang w:val="en-US"/>
        </w:rPr>
        <w:t xml:space="preserve">raining </w:t>
      </w:r>
      <w:proofErr w:type="spellStart"/>
      <w:r w:rsidRPr="00B336E0">
        <w:rPr>
          <w:lang w:val="en-US"/>
        </w:rPr>
        <w:t>programme</w:t>
      </w:r>
      <w:proofErr w:type="spellEnd"/>
      <w:r w:rsidRPr="00B336E0">
        <w:rPr>
          <w:lang w:val="en-US"/>
        </w:rPr>
        <w:t xml:space="preserve"> for SLNB service provision is </w:t>
      </w:r>
      <w:proofErr w:type="gramStart"/>
      <w:r w:rsidRPr="00B336E0">
        <w:rPr>
          <w:lang w:val="en-US"/>
        </w:rPr>
        <w:t xml:space="preserve">proposed </w:t>
      </w:r>
      <w:r w:rsidR="00A81D16">
        <w:rPr>
          <w:lang w:val="en-US"/>
        </w:rPr>
        <w:t>.</w:t>
      </w:r>
      <w:proofErr w:type="gramEnd"/>
    </w:p>
    <w:p w14:paraId="5CE89CF8" w14:textId="77777777" w:rsidR="00EB39B4" w:rsidRDefault="00EB39B4" w:rsidP="00EB39B4"/>
    <w:p w14:paraId="62DAC1FD" w14:textId="11DDE63A" w:rsidR="00EB39B4" w:rsidRPr="00905600" w:rsidRDefault="00F92546" w:rsidP="00EB39B4">
      <w:pPr>
        <w:rPr>
          <w:b/>
          <w:bCs/>
          <w:color w:val="7030A0"/>
          <w:sz w:val="28"/>
          <w:szCs w:val="28"/>
        </w:rPr>
      </w:pPr>
      <w:r>
        <w:rPr>
          <w:b/>
          <w:bCs/>
          <w:color w:val="7030A0"/>
          <w:sz w:val="28"/>
          <w:szCs w:val="28"/>
        </w:rPr>
        <w:t>Core Parameters</w:t>
      </w:r>
    </w:p>
    <w:p w14:paraId="2606D22E" w14:textId="266E163D" w:rsidR="00EB39B4" w:rsidRDefault="00F92546" w:rsidP="00EB39B4">
      <w:pPr>
        <w:rPr>
          <w:b/>
          <w:bCs/>
          <w:color w:val="7030A0"/>
        </w:rPr>
      </w:pPr>
      <w:r w:rsidRPr="00F92546">
        <w:rPr>
          <w:b/>
          <w:bCs/>
          <w:color w:val="7030A0"/>
        </w:rPr>
        <w:t>Safety</w:t>
      </w:r>
    </w:p>
    <w:p w14:paraId="6857FC5F" w14:textId="79252083" w:rsidR="00B32585" w:rsidRPr="00CF65FE" w:rsidRDefault="00CF65FE" w:rsidP="00EB39B4">
      <w:pPr>
        <w:rPr>
          <w:color w:val="7030A0"/>
        </w:rPr>
      </w:pPr>
      <w:r w:rsidRPr="00CF65FE">
        <w:rPr>
          <w:color w:val="000000" w:themeColor="text1"/>
          <w:lang w:val="en-US"/>
        </w:rPr>
        <w:t>SLNB has a sensitivity of 84- 96%</w:t>
      </w:r>
      <w:r>
        <w:rPr>
          <w:color w:val="000000" w:themeColor="text1"/>
          <w:lang w:val="en-US"/>
        </w:rPr>
        <w:t xml:space="preserve">, morbidity much reduced when compared to elective neck dissection. </w:t>
      </w:r>
    </w:p>
    <w:p w14:paraId="6EB9E448" w14:textId="77777777" w:rsidR="00EB39B4" w:rsidRDefault="00EB39B4" w:rsidP="00EB39B4">
      <w:r>
        <w:t xml:space="preserve"> </w:t>
      </w:r>
    </w:p>
    <w:p w14:paraId="4272AC08" w14:textId="2DF46CBE" w:rsidR="00EB39B4" w:rsidRDefault="00D90C55" w:rsidP="00EB39B4">
      <w:pPr>
        <w:rPr>
          <w:b/>
          <w:bCs/>
          <w:color w:val="7030A0"/>
          <w:sz w:val="28"/>
          <w:szCs w:val="28"/>
        </w:rPr>
      </w:pPr>
      <w:r>
        <w:rPr>
          <w:b/>
          <w:bCs/>
          <w:color w:val="7030A0"/>
          <w:sz w:val="28"/>
          <w:szCs w:val="28"/>
        </w:rPr>
        <w:t>Validity</w:t>
      </w:r>
    </w:p>
    <w:p w14:paraId="14FC7B29" w14:textId="09B33D8F" w:rsidR="00D90C55" w:rsidRDefault="00D90C55" w:rsidP="00EB39B4">
      <w:pPr>
        <w:rPr>
          <w:b/>
          <w:bCs/>
          <w:color w:val="7030A0"/>
        </w:rPr>
      </w:pPr>
      <w:r>
        <w:rPr>
          <w:b/>
          <w:bCs/>
          <w:color w:val="7030A0"/>
        </w:rPr>
        <w:t>Internal</w:t>
      </w:r>
    </w:p>
    <w:p w14:paraId="3C4D39DE" w14:textId="26A3ECB5" w:rsidR="00D90C55" w:rsidRDefault="00D90C55" w:rsidP="00EB39B4">
      <w:pPr>
        <w:rPr>
          <w:color w:val="000000" w:themeColor="text1"/>
        </w:rPr>
      </w:pPr>
      <w:r>
        <w:rPr>
          <w:color w:val="000000" w:themeColor="text1"/>
        </w:rPr>
        <w:t>Literature review, in the middle of the hierarchy of evidence and so there is no design to this study type.</w:t>
      </w:r>
    </w:p>
    <w:p w14:paraId="443E89DF" w14:textId="4E816D52" w:rsidR="00EB39B4" w:rsidRPr="000A238A" w:rsidRDefault="00D90C55" w:rsidP="00EB39B4">
      <w:pPr>
        <w:rPr>
          <w:color w:val="000000" w:themeColor="text1"/>
        </w:rPr>
      </w:pPr>
      <w:r>
        <w:rPr>
          <w:color w:val="000000" w:themeColor="text1"/>
        </w:rPr>
        <w:t xml:space="preserve">There </w:t>
      </w:r>
      <w:proofErr w:type="gramStart"/>
      <w:r>
        <w:rPr>
          <w:color w:val="000000" w:themeColor="text1"/>
        </w:rPr>
        <w:t>is</w:t>
      </w:r>
      <w:proofErr w:type="gramEnd"/>
      <w:r>
        <w:rPr>
          <w:color w:val="000000" w:themeColor="text1"/>
        </w:rPr>
        <w:t xml:space="preserve"> no exclusion criteria, and so we do not know why they chose to use the papers they used- this</w:t>
      </w:r>
      <w:r w:rsidR="000A238A">
        <w:rPr>
          <w:color w:val="000000" w:themeColor="text1"/>
        </w:rPr>
        <w:t xml:space="preserve"> is possible </w:t>
      </w:r>
      <w:r>
        <w:rPr>
          <w:color w:val="000000" w:themeColor="text1"/>
        </w:rPr>
        <w:t xml:space="preserve">selection bias. </w:t>
      </w:r>
    </w:p>
    <w:p w14:paraId="2E3BF71F" w14:textId="253DCA2A" w:rsidR="00EB39B4" w:rsidRPr="000A238A" w:rsidRDefault="000A238A" w:rsidP="00EB39B4">
      <w:pPr>
        <w:rPr>
          <w:b/>
          <w:bCs/>
          <w:color w:val="7030A0"/>
        </w:rPr>
      </w:pPr>
      <w:r>
        <w:rPr>
          <w:b/>
          <w:bCs/>
          <w:color w:val="7030A0"/>
        </w:rPr>
        <w:t>External</w:t>
      </w:r>
    </w:p>
    <w:p w14:paraId="267CBD6D" w14:textId="3F19CE9F" w:rsidR="00EB39B4" w:rsidRDefault="00EB39B4" w:rsidP="000A238A">
      <w:r>
        <w:t xml:space="preserve">Large </w:t>
      </w:r>
      <w:proofErr w:type="gramStart"/>
      <w:r>
        <w:t xml:space="preserve">numbers </w:t>
      </w:r>
      <w:r w:rsidR="000A238A">
        <w:t xml:space="preserve"> of</w:t>
      </w:r>
      <w:proofErr w:type="gramEnd"/>
      <w:r w:rsidR="000A238A">
        <w:t xml:space="preserve"> patients used, multiple centres across Europe.</w:t>
      </w:r>
    </w:p>
    <w:p w14:paraId="5C188027" w14:textId="32F94291" w:rsidR="000A238A" w:rsidRDefault="000A238A" w:rsidP="000A238A"/>
    <w:p w14:paraId="1F7B8BD2" w14:textId="090BD6F6" w:rsidR="000A238A" w:rsidRDefault="000A238A" w:rsidP="000A238A">
      <w:pPr>
        <w:rPr>
          <w:b/>
          <w:bCs/>
          <w:color w:val="7030A0"/>
          <w:sz w:val="28"/>
          <w:szCs w:val="28"/>
        </w:rPr>
      </w:pPr>
      <w:r>
        <w:rPr>
          <w:b/>
          <w:bCs/>
          <w:color w:val="7030A0"/>
          <w:sz w:val="28"/>
          <w:szCs w:val="28"/>
        </w:rPr>
        <w:t>Strengths</w:t>
      </w:r>
    </w:p>
    <w:p w14:paraId="26426061" w14:textId="322E20B7" w:rsidR="000A238A" w:rsidRPr="000A238A" w:rsidRDefault="000A238A" w:rsidP="000A238A">
      <w:pPr>
        <w:rPr>
          <w:color w:val="000000" w:themeColor="text1"/>
        </w:rPr>
      </w:pPr>
      <w:r w:rsidRPr="000A238A">
        <w:rPr>
          <w:color w:val="000000" w:themeColor="text1"/>
        </w:rPr>
        <w:t>Used a good range of papers to review, large sample size of patients</w:t>
      </w:r>
      <w:r>
        <w:rPr>
          <w:color w:val="000000" w:themeColor="text1"/>
        </w:rPr>
        <w:t xml:space="preserve">. </w:t>
      </w:r>
      <w:r w:rsidRPr="000A238A">
        <w:rPr>
          <w:color w:val="000000" w:themeColor="text1"/>
        </w:rPr>
        <w:t>Addresses safety of a new procedure compared with current best practice</w:t>
      </w:r>
      <w:r>
        <w:rPr>
          <w:color w:val="000000" w:themeColor="text1"/>
        </w:rPr>
        <w:t xml:space="preserve">. </w:t>
      </w:r>
      <w:r w:rsidRPr="000A238A">
        <w:rPr>
          <w:color w:val="000000" w:themeColor="text1"/>
        </w:rPr>
        <w:t>Discusses limitations of this procedure, both from a technical and a surgical aspect</w:t>
      </w:r>
      <w:r>
        <w:rPr>
          <w:color w:val="000000" w:themeColor="text1"/>
        </w:rPr>
        <w:t>.</w:t>
      </w:r>
    </w:p>
    <w:p w14:paraId="1A7BD538" w14:textId="77777777" w:rsidR="00EB39B4" w:rsidRPr="005402E5" w:rsidRDefault="00EB39B4" w:rsidP="00EB39B4">
      <w:pPr>
        <w:rPr>
          <w:vertAlign w:val="subscript"/>
        </w:rPr>
      </w:pPr>
    </w:p>
    <w:p w14:paraId="1BAF77EC" w14:textId="77777777" w:rsidR="00EB39B4" w:rsidRPr="00AA52D2" w:rsidRDefault="00EB39B4" w:rsidP="00EB39B4">
      <w:pPr>
        <w:rPr>
          <w:b/>
          <w:bCs/>
          <w:color w:val="7030A0"/>
          <w:sz w:val="28"/>
          <w:szCs w:val="28"/>
        </w:rPr>
      </w:pPr>
      <w:r w:rsidRPr="00AA52D2">
        <w:rPr>
          <w:b/>
          <w:bCs/>
          <w:color w:val="7030A0"/>
          <w:sz w:val="28"/>
          <w:szCs w:val="28"/>
        </w:rPr>
        <w:t>Weaknesses</w:t>
      </w:r>
    </w:p>
    <w:p w14:paraId="0289C5DA" w14:textId="5D9D01DC" w:rsidR="000A238A" w:rsidRDefault="000A238A" w:rsidP="00EB39B4">
      <w:r>
        <w:t xml:space="preserve">Literature review- no exclusion criteria. Possible selection bias with the papers they chose to include in the analysis. </w:t>
      </w:r>
      <w:r w:rsidRPr="000A238A">
        <w:t xml:space="preserve">Some studies have shown a false </w:t>
      </w:r>
      <w:r>
        <w:t xml:space="preserve">negative </w:t>
      </w:r>
      <w:r w:rsidRPr="000A238A">
        <w:t>rate up to 12%, uncertainties with surgical technique, no reliable techniques for immediate evaluation of the node- delays completion neck dissection if needed</w:t>
      </w:r>
      <w:r>
        <w:t xml:space="preserve">. </w:t>
      </w:r>
      <w:r w:rsidR="00701D3E" w:rsidRPr="00701D3E">
        <w:t xml:space="preserve">Statistical analysis of the papers would have been good- included all </w:t>
      </w:r>
      <w:r w:rsidR="00701D3E">
        <w:t xml:space="preserve">the </w:t>
      </w:r>
      <w:r w:rsidR="00701D3E" w:rsidRPr="00701D3E">
        <w:t>papers</w:t>
      </w:r>
      <w:r w:rsidR="00701D3E">
        <w:t xml:space="preserve">. </w:t>
      </w:r>
      <w:r w:rsidR="00AA4DB4" w:rsidRPr="00AA4DB4">
        <w:t xml:space="preserve">Survey of current thoughts on management doesn’t have enough detail- not </w:t>
      </w:r>
      <w:r w:rsidR="00AA4DB4">
        <w:t xml:space="preserve">enough external validity. The proposal for training does not appear to be based on any evidence. </w:t>
      </w:r>
    </w:p>
    <w:p w14:paraId="37E857B7" w14:textId="77777777" w:rsidR="00EB39B4" w:rsidRDefault="00EB39B4" w:rsidP="00EB39B4"/>
    <w:p w14:paraId="6779E48A" w14:textId="77777777" w:rsidR="00EB39B4" w:rsidRPr="00AA52D2" w:rsidRDefault="00EB39B4" w:rsidP="00EB39B4">
      <w:pPr>
        <w:rPr>
          <w:color w:val="7030A0"/>
          <w:sz w:val="28"/>
          <w:szCs w:val="28"/>
        </w:rPr>
      </w:pPr>
      <w:r w:rsidRPr="00AA52D2">
        <w:rPr>
          <w:b/>
          <w:bCs/>
          <w:color w:val="7030A0"/>
          <w:sz w:val="28"/>
          <w:szCs w:val="28"/>
        </w:rPr>
        <w:t>Summary</w:t>
      </w:r>
      <w:r w:rsidRPr="00AA52D2">
        <w:rPr>
          <w:color w:val="7030A0"/>
          <w:sz w:val="28"/>
          <w:szCs w:val="28"/>
        </w:rPr>
        <w:t xml:space="preserve"> </w:t>
      </w:r>
    </w:p>
    <w:p w14:paraId="7AF09AEC" w14:textId="71E661A2" w:rsidR="00B07BF4" w:rsidRPr="00787B5C" w:rsidRDefault="00EB39B4" w:rsidP="00EB39B4">
      <w:pPr>
        <w:contextualSpacing/>
        <w:rPr>
          <w:b/>
          <w:bCs/>
        </w:rPr>
      </w:pPr>
      <w:r>
        <w:t xml:space="preserve">A </w:t>
      </w:r>
      <w:r w:rsidR="00AA4DB4">
        <w:t xml:space="preserve">literature review assessing the evidence for SLNB in patients with oral SCC and to examine management of the clinical N0 neck in the UK and compare it with other centres in Europe. </w:t>
      </w:r>
      <w:r w:rsidR="00D943FF">
        <w:t xml:space="preserve">This paper also included a snapshot survey of current thoughts on management of the N0 neck, and a proposed training pathway to increase the provision of SLNB in maxillofacial units. </w:t>
      </w:r>
    </w:p>
    <w:p w14:paraId="3282C9B1" w14:textId="77777777" w:rsidR="00787B5C" w:rsidRPr="00787B5C" w:rsidRDefault="00787B5C" w:rsidP="00B7497F">
      <w:pPr>
        <w:contextualSpacing/>
        <w:jc w:val="center"/>
      </w:pPr>
    </w:p>
    <w:p w14:paraId="2FEC3171" w14:textId="77777777" w:rsidR="001430D0" w:rsidRPr="00787B5C" w:rsidRDefault="001430D0" w:rsidP="000406D9">
      <w:pPr>
        <w:contextualSpacing/>
        <w:jc w:val="both"/>
        <w:rPr>
          <w:rFonts w:cs="Arial"/>
        </w:rPr>
      </w:pPr>
    </w:p>
    <w:sectPr w:rsidR="001430D0" w:rsidRPr="00787B5C" w:rsidSect="001C7FAD">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127E1"/>
    <w:multiLevelType w:val="multilevel"/>
    <w:tmpl w:val="26A85004"/>
    <w:lvl w:ilvl="0">
      <w:start w:val="1"/>
      <w:numFmt w:val="decimal"/>
      <w:lvlText w:val="%1."/>
      <w:lvlJc w:val="right"/>
      <w:pPr>
        <w:ind w:left="72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lowerLetter"/>
      <w:lvlText w:val="%2."/>
      <w:lvlJc w:val="righ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lowerRoman"/>
      <w:lvlText w:val="%3."/>
      <w:lvlJc w:val="righ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decimal"/>
      <w:lvlText w:val="%4."/>
      <w:lvlJc w:val="righ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lowerLetter"/>
      <w:lvlText w:val="%5."/>
      <w:lvlJc w:val="righ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lowerRoman"/>
      <w:lvlText w:val="%6."/>
      <w:lvlJc w:val="righ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decimal"/>
      <w:lvlText w:val="%7."/>
      <w:lvlJc w:val="righ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lowerLetter"/>
      <w:lvlText w:val="%8."/>
      <w:lvlJc w:val="righ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lowerRoman"/>
      <w:lvlText w:val="%9."/>
      <w:lvlJc w:val="righ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 w15:restartNumberingAfterBreak="0">
    <w:nsid w:val="033D71B0"/>
    <w:multiLevelType w:val="multilevel"/>
    <w:tmpl w:val="61D237C6"/>
    <w:lvl w:ilvl="0">
      <w:start w:val="1"/>
      <w:numFmt w:val="bullet"/>
      <w:lvlText w:val="●"/>
      <w:lvlJc w:val="right"/>
      <w:pPr>
        <w:ind w:left="72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righ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righ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righ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righ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righ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righ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righ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righ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 w15:restartNumberingAfterBreak="0">
    <w:nsid w:val="3A8953B5"/>
    <w:multiLevelType w:val="hybridMultilevel"/>
    <w:tmpl w:val="120A7B76"/>
    <w:lvl w:ilvl="0" w:tplc="BA7E2776">
      <w:start w:val="1"/>
      <w:numFmt w:val="bullet"/>
      <w:lvlText w:val="•"/>
      <w:lvlJc w:val="left"/>
      <w:pPr>
        <w:tabs>
          <w:tab w:val="num" w:pos="720"/>
        </w:tabs>
        <w:ind w:left="720" w:hanging="360"/>
      </w:pPr>
      <w:rPr>
        <w:rFonts w:ascii="Arial" w:hAnsi="Arial" w:hint="default"/>
      </w:rPr>
    </w:lvl>
    <w:lvl w:ilvl="1" w:tplc="1BD8A476" w:tentative="1">
      <w:start w:val="1"/>
      <w:numFmt w:val="bullet"/>
      <w:lvlText w:val="•"/>
      <w:lvlJc w:val="left"/>
      <w:pPr>
        <w:tabs>
          <w:tab w:val="num" w:pos="1440"/>
        </w:tabs>
        <w:ind w:left="1440" w:hanging="360"/>
      </w:pPr>
      <w:rPr>
        <w:rFonts w:ascii="Arial" w:hAnsi="Arial" w:hint="default"/>
      </w:rPr>
    </w:lvl>
    <w:lvl w:ilvl="2" w:tplc="F6CA3C78" w:tentative="1">
      <w:start w:val="1"/>
      <w:numFmt w:val="bullet"/>
      <w:lvlText w:val="•"/>
      <w:lvlJc w:val="left"/>
      <w:pPr>
        <w:tabs>
          <w:tab w:val="num" w:pos="2160"/>
        </w:tabs>
        <w:ind w:left="2160" w:hanging="360"/>
      </w:pPr>
      <w:rPr>
        <w:rFonts w:ascii="Arial" w:hAnsi="Arial" w:hint="default"/>
      </w:rPr>
    </w:lvl>
    <w:lvl w:ilvl="3" w:tplc="48FEB5F8" w:tentative="1">
      <w:start w:val="1"/>
      <w:numFmt w:val="bullet"/>
      <w:lvlText w:val="•"/>
      <w:lvlJc w:val="left"/>
      <w:pPr>
        <w:tabs>
          <w:tab w:val="num" w:pos="2880"/>
        </w:tabs>
        <w:ind w:left="2880" w:hanging="360"/>
      </w:pPr>
      <w:rPr>
        <w:rFonts w:ascii="Arial" w:hAnsi="Arial" w:hint="default"/>
      </w:rPr>
    </w:lvl>
    <w:lvl w:ilvl="4" w:tplc="897AAC96" w:tentative="1">
      <w:start w:val="1"/>
      <w:numFmt w:val="bullet"/>
      <w:lvlText w:val="•"/>
      <w:lvlJc w:val="left"/>
      <w:pPr>
        <w:tabs>
          <w:tab w:val="num" w:pos="3600"/>
        </w:tabs>
        <w:ind w:left="3600" w:hanging="360"/>
      </w:pPr>
      <w:rPr>
        <w:rFonts w:ascii="Arial" w:hAnsi="Arial" w:hint="default"/>
      </w:rPr>
    </w:lvl>
    <w:lvl w:ilvl="5" w:tplc="728617E0" w:tentative="1">
      <w:start w:val="1"/>
      <w:numFmt w:val="bullet"/>
      <w:lvlText w:val="•"/>
      <w:lvlJc w:val="left"/>
      <w:pPr>
        <w:tabs>
          <w:tab w:val="num" w:pos="4320"/>
        </w:tabs>
        <w:ind w:left="4320" w:hanging="360"/>
      </w:pPr>
      <w:rPr>
        <w:rFonts w:ascii="Arial" w:hAnsi="Arial" w:hint="default"/>
      </w:rPr>
    </w:lvl>
    <w:lvl w:ilvl="6" w:tplc="6F28D372" w:tentative="1">
      <w:start w:val="1"/>
      <w:numFmt w:val="bullet"/>
      <w:lvlText w:val="•"/>
      <w:lvlJc w:val="left"/>
      <w:pPr>
        <w:tabs>
          <w:tab w:val="num" w:pos="5040"/>
        </w:tabs>
        <w:ind w:left="5040" w:hanging="360"/>
      </w:pPr>
      <w:rPr>
        <w:rFonts w:ascii="Arial" w:hAnsi="Arial" w:hint="default"/>
      </w:rPr>
    </w:lvl>
    <w:lvl w:ilvl="7" w:tplc="404067EC" w:tentative="1">
      <w:start w:val="1"/>
      <w:numFmt w:val="bullet"/>
      <w:lvlText w:val="•"/>
      <w:lvlJc w:val="left"/>
      <w:pPr>
        <w:tabs>
          <w:tab w:val="num" w:pos="5760"/>
        </w:tabs>
        <w:ind w:left="5760" w:hanging="360"/>
      </w:pPr>
      <w:rPr>
        <w:rFonts w:ascii="Arial" w:hAnsi="Arial" w:hint="default"/>
      </w:rPr>
    </w:lvl>
    <w:lvl w:ilvl="8" w:tplc="1F36BA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78860FD3"/>
    <w:multiLevelType w:val="hybridMultilevel"/>
    <w:tmpl w:val="9B5244AE"/>
    <w:lvl w:ilvl="0" w:tplc="5C7C71E0">
      <w:start w:val="1"/>
      <w:numFmt w:val="bullet"/>
      <w:lvlText w:val="•"/>
      <w:lvlJc w:val="left"/>
      <w:pPr>
        <w:tabs>
          <w:tab w:val="num" w:pos="720"/>
        </w:tabs>
        <w:ind w:left="720" w:hanging="360"/>
      </w:pPr>
      <w:rPr>
        <w:rFonts w:ascii="Arial" w:hAnsi="Arial" w:hint="default"/>
      </w:rPr>
    </w:lvl>
    <w:lvl w:ilvl="1" w:tplc="F84881C8" w:tentative="1">
      <w:start w:val="1"/>
      <w:numFmt w:val="bullet"/>
      <w:lvlText w:val="•"/>
      <w:lvlJc w:val="left"/>
      <w:pPr>
        <w:tabs>
          <w:tab w:val="num" w:pos="1440"/>
        </w:tabs>
        <w:ind w:left="1440" w:hanging="360"/>
      </w:pPr>
      <w:rPr>
        <w:rFonts w:ascii="Arial" w:hAnsi="Arial" w:hint="default"/>
      </w:rPr>
    </w:lvl>
    <w:lvl w:ilvl="2" w:tplc="58AACD6A" w:tentative="1">
      <w:start w:val="1"/>
      <w:numFmt w:val="bullet"/>
      <w:lvlText w:val="•"/>
      <w:lvlJc w:val="left"/>
      <w:pPr>
        <w:tabs>
          <w:tab w:val="num" w:pos="2160"/>
        </w:tabs>
        <w:ind w:left="2160" w:hanging="360"/>
      </w:pPr>
      <w:rPr>
        <w:rFonts w:ascii="Arial" w:hAnsi="Arial" w:hint="default"/>
      </w:rPr>
    </w:lvl>
    <w:lvl w:ilvl="3" w:tplc="0A104ADA" w:tentative="1">
      <w:start w:val="1"/>
      <w:numFmt w:val="bullet"/>
      <w:lvlText w:val="•"/>
      <w:lvlJc w:val="left"/>
      <w:pPr>
        <w:tabs>
          <w:tab w:val="num" w:pos="2880"/>
        </w:tabs>
        <w:ind w:left="2880" w:hanging="360"/>
      </w:pPr>
      <w:rPr>
        <w:rFonts w:ascii="Arial" w:hAnsi="Arial" w:hint="default"/>
      </w:rPr>
    </w:lvl>
    <w:lvl w:ilvl="4" w:tplc="1D84972A" w:tentative="1">
      <w:start w:val="1"/>
      <w:numFmt w:val="bullet"/>
      <w:lvlText w:val="•"/>
      <w:lvlJc w:val="left"/>
      <w:pPr>
        <w:tabs>
          <w:tab w:val="num" w:pos="3600"/>
        </w:tabs>
        <w:ind w:left="3600" w:hanging="360"/>
      </w:pPr>
      <w:rPr>
        <w:rFonts w:ascii="Arial" w:hAnsi="Arial" w:hint="default"/>
      </w:rPr>
    </w:lvl>
    <w:lvl w:ilvl="5" w:tplc="CC162234" w:tentative="1">
      <w:start w:val="1"/>
      <w:numFmt w:val="bullet"/>
      <w:lvlText w:val="•"/>
      <w:lvlJc w:val="left"/>
      <w:pPr>
        <w:tabs>
          <w:tab w:val="num" w:pos="4320"/>
        </w:tabs>
        <w:ind w:left="4320" w:hanging="360"/>
      </w:pPr>
      <w:rPr>
        <w:rFonts w:ascii="Arial" w:hAnsi="Arial" w:hint="default"/>
      </w:rPr>
    </w:lvl>
    <w:lvl w:ilvl="6" w:tplc="A27CE26C" w:tentative="1">
      <w:start w:val="1"/>
      <w:numFmt w:val="bullet"/>
      <w:lvlText w:val="•"/>
      <w:lvlJc w:val="left"/>
      <w:pPr>
        <w:tabs>
          <w:tab w:val="num" w:pos="5040"/>
        </w:tabs>
        <w:ind w:left="5040" w:hanging="360"/>
      </w:pPr>
      <w:rPr>
        <w:rFonts w:ascii="Arial" w:hAnsi="Arial" w:hint="default"/>
      </w:rPr>
    </w:lvl>
    <w:lvl w:ilvl="7" w:tplc="D7A6B92E" w:tentative="1">
      <w:start w:val="1"/>
      <w:numFmt w:val="bullet"/>
      <w:lvlText w:val="•"/>
      <w:lvlJc w:val="left"/>
      <w:pPr>
        <w:tabs>
          <w:tab w:val="num" w:pos="5760"/>
        </w:tabs>
        <w:ind w:left="5760" w:hanging="360"/>
      </w:pPr>
      <w:rPr>
        <w:rFonts w:ascii="Arial" w:hAnsi="Arial" w:hint="default"/>
      </w:rPr>
    </w:lvl>
    <w:lvl w:ilvl="8" w:tplc="A8A09B6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E1B28DF"/>
    <w:multiLevelType w:val="hybridMultilevel"/>
    <w:tmpl w:val="482638AC"/>
    <w:lvl w:ilvl="0" w:tplc="B192CFBA">
      <w:start w:val="1"/>
      <w:numFmt w:val="bullet"/>
      <w:lvlText w:val="•"/>
      <w:lvlJc w:val="left"/>
      <w:pPr>
        <w:tabs>
          <w:tab w:val="num" w:pos="720"/>
        </w:tabs>
        <w:ind w:left="720" w:hanging="360"/>
      </w:pPr>
      <w:rPr>
        <w:rFonts w:ascii="Arial" w:hAnsi="Arial" w:hint="default"/>
      </w:rPr>
    </w:lvl>
    <w:lvl w:ilvl="1" w:tplc="C6F8983C" w:tentative="1">
      <w:start w:val="1"/>
      <w:numFmt w:val="bullet"/>
      <w:lvlText w:val="•"/>
      <w:lvlJc w:val="left"/>
      <w:pPr>
        <w:tabs>
          <w:tab w:val="num" w:pos="1440"/>
        </w:tabs>
        <w:ind w:left="1440" w:hanging="360"/>
      </w:pPr>
      <w:rPr>
        <w:rFonts w:ascii="Arial" w:hAnsi="Arial" w:hint="default"/>
      </w:rPr>
    </w:lvl>
    <w:lvl w:ilvl="2" w:tplc="DF80D170" w:tentative="1">
      <w:start w:val="1"/>
      <w:numFmt w:val="bullet"/>
      <w:lvlText w:val="•"/>
      <w:lvlJc w:val="left"/>
      <w:pPr>
        <w:tabs>
          <w:tab w:val="num" w:pos="2160"/>
        </w:tabs>
        <w:ind w:left="2160" w:hanging="360"/>
      </w:pPr>
      <w:rPr>
        <w:rFonts w:ascii="Arial" w:hAnsi="Arial" w:hint="default"/>
      </w:rPr>
    </w:lvl>
    <w:lvl w:ilvl="3" w:tplc="59707748" w:tentative="1">
      <w:start w:val="1"/>
      <w:numFmt w:val="bullet"/>
      <w:lvlText w:val="•"/>
      <w:lvlJc w:val="left"/>
      <w:pPr>
        <w:tabs>
          <w:tab w:val="num" w:pos="2880"/>
        </w:tabs>
        <w:ind w:left="2880" w:hanging="360"/>
      </w:pPr>
      <w:rPr>
        <w:rFonts w:ascii="Arial" w:hAnsi="Arial" w:hint="default"/>
      </w:rPr>
    </w:lvl>
    <w:lvl w:ilvl="4" w:tplc="85AEDCD0" w:tentative="1">
      <w:start w:val="1"/>
      <w:numFmt w:val="bullet"/>
      <w:lvlText w:val="•"/>
      <w:lvlJc w:val="left"/>
      <w:pPr>
        <w:tabs>
          <w:tab w:val="num" w:pos="3600"/>
        </w:tabs>
        <w:ind w:left="3600" w:hanging="360"/>
      </w:pPr>
      <w:rPr>
        <w:rFonts w:ascii="Arial" w:hAnsi="Arial" w:hint="default"/>
      </w:rPr>
    </w:lvl>
    <w:lvl w:ilvl="5" w:tplc="C374C8AE" w:tentative="1">
      <w:start w:val="1"/>
      <w:numFmt w:val="bullet"/>
      <w:lvlText w:val="•"/>
      <w:lvlJc w:val="left"/>
      <w:pPr>
        <w:tabs>
          <w:tab w:val="num" w:pos="4320"/>
        </w:tabs>
        <w:ind w:left="4320" w:hanging="360"/>
      </w:pPr>
      <w:rPr>
        <w:rFonts w:ascii="Arial" w:hAnsi="Arial" w:hint="default"/>
      </w:rPr>
    </w:lvl>
    <w:lvl w:ilvl="6" w:tplc="79146CAC" w:tentative="1">
      <w:start w:val="1"/>
      <w:numFmt w:val="bullet"/>
      <w:lvlText w:val="•"/>
      <w:lvlJc w:val="left"/>
      <w:pPr>
        <w:tabs>
          <w:tab w:val="num" w:pos="5040"/>
        </w:tabs>
        <w:ind w:left="5040" w:hanging="360"/>
      </w:pPr>
      <w:rPr>
        <w:rFonts w:ascii="Arial" w:hAnsi="Arial" w:hint="default"/>
      </w:rPr>
    </w:lvl>
    <w:lvl w:ilvl="7" w:tplc="7D9AEF7E" w:tentative="1">
      <w:start w:val="1"/>
      <w:numFmt w:val="bullet"/>
      <w:lvlText w:val="•"/>
      <w:lvlJc w:val="left"/>
      <w:pPr>
        <w:tabs>
          <w:tab w:val="num" w:pos="5760"/>
        </w:tabs>
        <w:ind w:left="5760" w:hanging="360"/>
      </w:pPr>
      <w:rPr>
        <w:rFonts w:ascii="Arial" w:hAnsi="Arial" w:hint="default"/>
      </w:rPr>
    </w:lvl>
    <w:lvl w:ilvl="8" w:tplc="6C2C3E22"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5CBA"/>
    <w:rsid w:val="000265F3"/>
    <w:rsid w:val="000406D9"/>
    <w:rsid w:val="00085C88"/>
    <w:rsid w:val="000A238A"/>
    <w:rsid w:val="000A5DC5"/>
    <w:rsid w:val="00135C17"/>
    <w:rsid w:val="00141780"/>
    <w:rsid w:val="001430D0"/>
    <w:rsid w:val="0016713E"/>
    <w:rsid w:val="00175D2B"/>
    <w:rsid w:val="00196E99"/>
    <w:rsid w:val="001C7FAD"/>
    <w:rsid w:val="00240A8C"/>
    <w:rsid w:val="0029337A"/>
    <w:rsid w:val="002C24B0"/>
    <w:rsid w:val="0032142F"/>
    <w:rsid w:val="003A6725"/>
    <w:rsid w:val="003B62C5"/>
    <w:rsid w:val="003F5C83"/>
    <w:rsid w:val="0044398E"/>
    <w:rsid w:val="00503816"/>
    <w:rsid w:val="00507B33"/>
    <w:rsid w:val="00525FF8"/>
    <w:rsid w:val="005C5431"/>
    <w:rsid w:val="00615179"/>
    <w:rsid w:val="00625F6D"/>
    <w:rsid w:val="00631A4C"/>
    <w:rsid w:val="006472A8"/>
    <w:rsid w:val="00652426"/>
    <w:rsid w:val="006A5A88"/>
    <w:rsid w:val="006B7A6E"/>
    <w:rsid w:val="006F68CB"/>
    <w:rsid w:val="00701D3E"/>
    <w:rsid w:val="0077043C"/>
    <w:rsid w:val="00787B5C"/>
    <w:rsid w:val="007E000B"/>
    <w:rsid w:val="00844B7C"/>
    <w:rsid w:val="00864AD5"/>
    <w:rsid w:val="008B0A17"/>
    <w:rsid w:val="008E10D3"/>
    <w:rsid w:val="00905600"/>
    <w:rsid w:val="00954D09"/>
    <w:rsid w:val="009C7F78"/>
    <w:rsid w:val="00A11051"/>
    <w:rsid w:val="00A6188C"/>
    <w:rsid w:val="00A62502"/>
    <w:rsid w:val="00A81D16"/>
    <w:rsid w:val="00AA4DB4"/>
    <w:rsid w:val="00AA52D2"/>
    <w:rsid w:val="00B07634"/>
    <w:rsid w:val="00B07BF4"/>
    <w:rsid w:val="00B24D60"/>
    <w:rsid w:val="00B32585"/>
    <w:rsid w:val="00B336E0"/>
    <w:rsid w:val="00B50CBB"/>
    <w:rsid w:val="00B57F74"/>
    <w:rsid w:val="00B7497F"/>
    <w:rsid w:val="00B90030"/>
    <w:rsid w:val="00BA4E80"/>
    <w:rsid w:val="00C05A17"/>
    <w:rsid w:val="00CC768D"/>
    <w:rsid w:val="00CE069D"/>
    <w:rsid w:val="00CF65FE"/>
    <w:rsid w:val="00D25CBA"/>
    <w:rsid w:val="00D31501"/>
    <w:rsid w:val="00D4602F"/>
    <w:rsid w:val="00D90C55"/>
    <w:rsid w:val="00D943FF"/>
    <w:rsid w:val="00DC62EB"/>
    <w:rsid w:val="00E13847"/>
    <w:rsid w:val="00E45727"/>
    <w:rsid w:val="00E84881"/>
    <w:rsid w:val="00E87DCA"/>
    <w:rsid w:val="00EA56EB"/>
    <w:rsid w:val="00EB39B4"/>
    <w:rsid w:val="00ED501F"/>
    <w:rsid w:val="00EF76EA"/>
    <w:rsid w:val="00F04393"/>
    <w:rsid w:val="00F06C3B"/>
    <w:rsid w:val="00F92546"/>
    <w:rsid w:val="00FD4D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87D8119"/>
  <w14:defaultImageDpi w14:val="300"/>
  <w15:docId w15:val="{D3F564E6-AAF6-704B-A5A3-615083C4F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9B4"/>
    <w:rPr>
      <w:lang w:val="en-GB"/>
    </w:rPr>
  </w:style>
  <w:style w:type="paragraph" w:styleId="Heading1">
    <w:name w:val="heading 1"/>
    <w:basedOn w:val="Normal"/>
    <w:next w:val="Normal"/>
    <w:link w:val="Heading1Char"/>
    <w:uiPriority w:val="9"/>
    <w:qFormat/>
    <w:rsid w:val="00844B7C"/>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zh-CN"/>
    </w:rPr>
  </w:style>
  <w:style w:type="paragraph" w:styleId="Heading2">
    <w:name w:val="heading 2"/>
    <w:basedOn w:val="Normal"/>
    <w:next w:val="Normal"/>
    <w:link w:val="Heading2Char"/>
    <w:uiPriority w:val="9"/>
    <w:unhideWhenUsed/>
    <w:qFormat/>
    <w:rsid w:val="00844B7C"/>
    <w:pPr>
      <w:keepNext/>
      <w:keepLines/>
      <w:spacing w:before="40" w:line="259" w:lineRule="auto"/>
      <w:outlineLvl w:val="1"/>
    </w:pPr>
    <w:rPr>
      <w:rFonts w:asciiTheme="majorHAnsi" w:eastAsiaTheme="majorEastAsia" w:hAnsiTheme="majorHAnsi" w:cstheme="majorBidi"/>
      <w:color w:val="365F91" w:themeColor="accent1" w:themeShade="BF"/>
      <w:sz w:val="26"/>
      <w:szCs w:val="26"/>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4B7C"/>
    <w:rPr>
      <w:rFonts w:asciiTheme="majorHAnsi" w:eastAsiaTheme="majorEastAsia" w:hAnsiTheme="majorHAnsi" w:cstheme="majorBidi"/>
      <w:color w:val="365F91" w:themeColor="accent1" w:themeShade="BF"/>
      <w:sz w:val="32"/>
      <w:szCs w:val="32"/>
      <w:lang w:val="en-GB" w:eastAsia="zh-CN"/>
    </w:rPr>
  </w:style>
  <w:style w:type="character" w:customStyle="1" w:styleId="Heading2Char">
    <w:name w:val="Heading 2 Char"/>
    <w:basedOn w:val="DefaultParagraphFont"/>
    <w:link w:val="Heading2"/>
    <w:uiPriority w:val="9"/>
    <w:rsid w:val="00844B7C"/>
    <w:rPr>
      <w:rFonts w:asciiTheme="majorHAnsi" w:eastAsiaTheme="majorEastAsia" w:hAnsiTheme="majorHAnsi" w:cstheme="majorBidi"/>
      <w:color w:val="365F91" w:themeColor="accent1" w:themeShade="BF"/>
      <w:sz w:val="26"/>
      <w:szCs w:val="26"/>
      <w:lang w:val="en-GB" w:eastAsia="zh-CN"/>
    </w:rPr>
  </w:style>
  <w:style w:type="character" w:styleId="Hyperlink">
    <w:name w:val="Hyperlink"/>
    <w:basedOn w:val="DefaultParagraphFont"/>
    <w:uiPriority w:val="99"/>
    <w:unhideWhenUsed/>
    <w:rsid w:val="00844B7C"/>
    <w:rPr>
      <w:color w:val="0000FF" w:themeColor="hyperlink"/>
      <w:u w:val="single"/>
    </w:rPr>
  </w:style>
  <w:style w:type="paragraph" w:styleId="Title">
    <w:name w:val="Title"/>
    <w:basedOn w:val="Normal"/>
    <w:next w:val="Normal"/>
    <w:link w:val="TitleChar"/>
    <w:uiPriority w:val="10"/>
    <w:qFormat/>
    <w:rsid w:val="00844B7C"/>
    <w:pPr>
      <w:contextualSpacing/>
    </w:pPr>
    <w:rPr>
      <w:rFonts w:asciiTheme="majorHAnsi" w:eastAsiaTheme="majorEastAsia" w:hAnsiTheme="majorHAnsi" w:cstheme="majorBidi"/>
      <w:spacing w:val="-10"/>
      <w:kern w:val="28"/>
      <w:sz w:val="56"/>
      <w:szCs w:val="56"/>
      <w:lang w:eastAsia="zh-CN"/>
    </w:rPr>
  </w:style>
  <w:style w:type="character" w:customStyle="1" w:styleId="TitleChar">
    <w:name w:val="Title Char"/>
    <w:basedOn w:val="DefaultParagraphFont"/>
    <w:link w:val="Title"/>
    <w:uiPriority w:val="10"/>
    <w:rsid w:val="00844B7C"/>
    <w:rPr>
      <w:rFonts w:asciiTheme="majorHAnsi" w:eastAsiaTheme="majorEastAsia" w:hAnsiTheme="majorHAnsi" w:cstheme="majorBidi"/>
      <w:spacing w:val="-10"/>
      <w:kern w:val="28"/>
      <w:sz w:val="56"/>
      <w:szCs w:val="56"/>
      <w:lang w:val="en-GB" w:eastAsia="zh-CN"/>
    </w:rPr>
  </w:style>
  <w:style w:type="paragraph" w:styleId="Subtitle">
    <w:name w:val="Subtitle"/>
    <w:basedOn w:val="Normal"/>
    <w:next w:val="Normal"/>
    <w:link w:val="SubtitleChar"/>
    <w:uiPriority w:val="11"/>
    <w:qFormat/>
    <w:rsid w:val="00844B7C"/>
    <w:pPr>
      <w:numPr>
        <w:ilvl w:val="1"/>
      </w:numPr>
      <w:spacing w:after="160" w:line="259" w:lineRule="auto"/>
    </w:pPr>
    <w:rPr>
      <w:color w:val="5A5A5A" w:themeColor="text1" w:themeTint="A5"/>
      <w:spacing w:val="15"/>
      <w:sz w:val="22"/>
      <w:szCs w:val="22"/>
      <w:lang w:eastAsia="zh-CN"/>
    </w:rPr>
  </w:style>
  <w:style w:type="character" w:customStyle="1" w:styleId="SubtitleChar">
    <w:name w:val="Subtitle Char"/>
    <w:basedOn w:val="DefaultParagraphFont"/>
    <w:link w:val="Subtitle"/>
    <w:uiPriority w:val="11"/>
    <w:rsid w:val="00844B7C"/>
    <w:rPr>
      <w:color w:val="5A5A5A" w:themeColor="text1" w:themeTint="A5"/>
      <w:spacing w:val="15"/>
      <w:sz w:val="22"/>
      <w:szCs w:val="22"/>
      <w:lang w:val="en-GB" w:eastAsia="zh-CN"/>
    </w:rPr>
  </w:style>
  <w:style w:type="character" w:customStyle="1" w:styleId="authors-list-item">
    <w:name w:val="authors-list-item"/>
    <w:basedOn w:val="DefaultParagraphFont"/>
    <w:rsid w:val="00B07BF4"/>
  </w:style>
  <w:style w:type="character" w:customStyle="1" w:styleId="author-sup-separator">
    <w:name w:val="author-sup-separator"/>
    <w:basedOn w:val="DefaultParagraphFont"/>
    <w:rsid w:val="00B07BF4"/>
  </w:style>
  <w:style w:type="character" w:customStyle="1" w:styleId="comma">
    <w:name w:val="comma"/>
    <w:basedOn w:val="DefaultParagraphFont"/>
    <w:rsid w:val="00B07BF4"/>
  </w:style>
  <w:style w:type="character" w:styleId="FollowedHyperlink">
    <w:name w:val="FollowedHyperlink"/>
    <w:basedOn w:val="DefaultParagraphFont"/>
    <w:uiPriority w:val="99"/>
    <w:semiHidden/>
    <w:unhideWhenUsed/>
    <w:rsid w:val="006F68CB"/>
    <w:rPr>
      <w:color w:val="800080" w:themeColor="followedHyperlink"/>
      <w:u w:val="single"/>
    </w:rPr>
  </w:style>
  <w:style w:type="table" w:styleId="TableGrid">
    <w:name w:val="Table Grid"/>
    <w:basedOn w:val="TableNormal"/>
    <w:uiPriority w:val="39"/>
    <w:rsid w:val="003A6725"/>
    <w:rPr>
      <w:sz w:val="22"/>
      <w:szCs w:val="22"/>
      <w:lang w:val="en-S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9509907">
      <w:bodyDiv w:val="1"/>
      <w:marLeft w:val="0"/>
      <w:marRight w:val="0"/>
      <w:marTop w:val="0"/>
      <w:marBottom w:val="0"/>
      <w:divBdr>
        <w:top w:val="none" w:sz="0" w:space="0" w:color="auto"/>
        <w:left w:val="none" w:sz="0" w:space="0" w:color="auto"/>
        <w:bottom w:val="none" w:sz="0" w:space="0" w:color="auto"/>
        <w:right w:val="none" w:sz="0" w:space="0" w:color="auto"/>
      </w:divBdr>
      <w:divsChild>
        <w:div w:id="189955228">
          <w:marLeft w:val="360"/>
          <w:marRight w:val="0"/>
          <w:marTop w:val="200"/>
          <w:marBottom w:val="0"/>
          <w:divBdr>
            <w:top w:val="none" w:sz="0" w:space="0" w:color="auto"/>
            <w:left w:val="none" w:sz="0" w:space="0" w:color="auto"/>
            <w:bottom w:val="none" w:sz="0" w:space="0" w:color="auto"/>
            <w:right w:val="none" w:sz="0" w:space="0" w:color="auto"/>
          </w:divBdr>
        </w:div>
      </w:divsChild>
    </w:div>
    <w:div w:id="259721524">
      <w:bodyDiv w:val="1"/>
      <w:marLeft w:val="0"/>
      <w:marRight w:val="0"/>
      <w:marTop w:val="0"/>
      <w:marBottom w:val="0"/>
      <w:divBdr>
        <w:top w:val="none" w:sz="0" w:space="0" w:color="auto"/>
        <w:left w:val="none" w:sz="0" w:space="0" w:color="auto"/>
        <w:bottom w:val="none" w:sz="0" w:space="0" w:color="auto"/>
        <w:right w:val="none" w:sz="0" w:space="0" w:color="auto"/>
      </w:divBdr>
      <w:divsChild>
        <w:div w:id="1486320278">
          <w:marLeft w:val="0"/>
          <w:marRight w:val="0"/>
          <w:marTop w:val="0"/>
          <w:marBottom w:val="0"/>
          <w:divBdr>
            <w:top w:val="none" w:sz="0" w:space="0" w:color="auto"/>
            <w:left w:val="none" w:sz="0" w:space="0" w:color="auto"/>
            <w:bottom w:val="none" w:sz="0" w:space="0" w:color="auto"/>
            <w:right w:val="none" w:sz="0" w:space="0" w:color="auto"/>
          </w:divBdr>
          <w:divsChild>
            <w:div w:id="170061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236176">
      <w:bodyDiv w:val="1"/>
      <w:marLeft w:val="0"/>
      <w:marRight w:val="0"/>
      <w:marTop w:val="0"/>
      <w:marBottom w:val="0"/>
      <w:divBdr>
        <w:top w:val="none" w:sz="0" w:space="0" w:color="auto"/>
        <w:left w:val="none" w:sz="0" w:space="0" w:color="auto"/>
        <w:bottom w:val="none" w:sz="0" w:space="0" w:color="auto"/>
        <w:right w:val="none" w:sz="0" w:space="0" w:color="auto"/>
      </w:divBdr>
      <w:divsChild>
        <w:div w:id="115413264">
          <w:marLeft w:val="360"/>
          <w:marRight w:val="0"/>
          <w:marTop w:val="200"/>
          <w:marBottom w:val="0"/>
          <w:divBdr>
            <w:top w:val="none" w:sz="0" w:space="0" w:color="auto"/>
            <w:left w:val="none" w:sz="0" w:space="0" w:color="auto"/>
            <w:bottom w:val="none" w:sz="0" w:space="0" w:color="auto"/>
            <w:right w:val="none" w:sz="0" w:space="0" w:color="auto"/>
          </w:divBdr>
        </w:div>
      </w:divsChild>
    </w:div>
    <w:div w:id="453139458">
      <w:bodyDiv w:val="1"/>
      <w:marLeft w:val="0"/>
      <w:marRight w:val="0"/>
      <w:marTop w:val="0"/>
      <w:marBottom w:val="0"/>
      <w:divBdr>
        <w:top w:val="none" w:sz="0" w:space="0" w:color="auto"/>
        <w:left w:val="none" w:sz="0" w:space="0" w:color="auto"/>
        <w:bottom w:val="none" w:sz="0" w:space="0" w:color="auto"/>
        <w:right w:val="none" w:sz="0" w:space="0" w:color="auto"/>
      </w:divBdr>
      <w:divsChild>
        <w:div w:id="1056588388">
          <w:marLeft w:val="0"/>
          <w:marRight w:val="0"/>
          <w:marTop w:val="0"/>
          <w:marBottom w:val="0"/>
          <w:divBdr>
            <w:top w:val="none" w:sz="0" w:space="0" w:color="auto"/>
            <w:left w:val="none" w:sz="0" w:space="0" w:color="auto"/>
            <w:bottom w:val="none" w:sz="0" w:space="0" w:color="auto"/>
            <w:right w:val="none" w:sz="0" w:space="0" w:color="auto"/>
          </w:divBdr>
          <w:divsChild>
            <w:div w:id="75913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092006">
      <w:bodyDiv w:val="1"/>
      <w:marLeft w:val="0"/>
      <w:marRight w:val="0"/>
      <w:marTop w:val="0"/>
      <w:marBottom w:val="0"/>
      <w:divBdr>
        <w:top w:val="none" w:sz="0" w:space="0" w:color="auto"/>
        <w:left w:val="none" w:sz="0" w:space="0" w:color="auto"/>
        <w:bottom w:val="none" w:sz="0" w:space="0" w:color="auto"/>
        <w:right w:val="none" w:sz="0" w:space="0" w:color="auto"/>
      </w:divBdr>
      <w:divsChild>
        <w:div w:id="528035530">
          <w:marLeft w:val="360"/>
          <w:marRight w:val="0"/>
          <w:marTop w:val="200"/>
          <w:marBottom w:val="0"/>
          <w:divBdr>
            <w:top w:val="none" w:sz="0" w:space="0" w:color="auto"/>
            <w:left w:val="none" w:sz="0" w:space="0" w:color="auto"/>
            <w:bottom w:val="none" w:sz="0" w:space="0" w:color="auto"/>
            <w:right w:val="none" w:sz="0" w:space="0" w:color="auto"/>
          </w:divBdr>
        </w:div>
      </w:divsChild>
    </w:div>
    <w:div w:id="665061700">
      <w:bodyDiv w:val="1"/>
      <w:marLeft w:val="0"/>
      <w:marRight w:val="0"/>
      <w:marTop w:val="0"/>
      <w:marBottom w:val="0"/>
      <w:divBdr>
        <w:top w:val="none" w:sz="0" w:space="0" w:color="auto"/>
        <w:left w:val="none" w:sz="0" w:space="0" w:color="auto"/>
        <w:bottom w:val="none" w:sz="0" w:space="0" w:color="auto"/>
        <w:right w:val="none" w:sz="0" w:space="0" w:color="auto"/>
      </w:divBdr>
      <w:divsChild>
        <w:div w:id="1815222548">
          <w:marLeft w:val="360"/>
          <w:marRight w:val="0"/>
          <w:marTop w:val="200"/>
          <w:marBottom w:val="0"/>
          <w:divBdr>
            <w:top w:val="none" w:sz="0" w:space="0" w:color="auto"/>
            <w:left w:val="none" w:sz="0" w:space="0" w:color="auto"/>
            <w:bottom w:val="none" w:sz="0" w:space="0" w:color="auto"/>
            <w:right w:val="none" w:sz="0" w:space="0" w:color="auto"/>
          </w:divBdr>
        </w:div>
      </w:divsChild>
    </w:div>
    <w:div w:id="833225508">
      <w:bodyDiv w:val="1"/>
      <w:marLeft w:val="0"/>
      <w:marRight w:val="0"/>
      <w:marTop w:val="0"/>
      <w:marBottom w:val="0"/>
      <w:divBdr>
        <w:top w:val="none" w:sz="0" w:space="0" w:color="auto"/>
        <w:left w:val="none" w:sz="0" w:space="0" w:color="auto"/>
        <w:bottom w:val="none" w:sz="0" w:space="0" w:color="auto"/>
        <w:right w:val="none" w:sz="0" w:space="0" w:color="auto"/>
      </w:divBdr>
    </w:div>
    <w:div w:id="1031495452">
      <w:bodyDiv w:val="1"/>
      <w:marLeft w:val="0"/>
      <w:marRight w:val="0"/>
      <w:marTop w:val="0"/>
      <w:marBottom w:val="0"/>
      <w:divBdr>
        <w:top w:val="none" w:sz="0" w:space="0" w:color="auto"/>
        <w:left w:val="none" w:sz="0" w:space="0" w:color="auto"/>
        <w:bottom w:val="none" w:sz="0" w:space="0" w:color="auto"/>
        <w:right w:val="none" w:sz="0" w:space="0" w:color="auto"/>
      </w:divBdr>
      <w:divsChild>
        <w:div w:id="597564496">
          <w:marLeft w:val="0"/>
          <w:marRight w:val="0"/>
          <w:marTop w:val="0"/>
          <w:marBottom w:val="0"/>
          <w:divBdr>
            <w:top w:val="none" w:sz="0" w:space="0" w:color="auto"/>
            <w:left w:val="none" w:sz="0" w:space="0" w:color="auto"/>
            <w:bottom w:val="none" w:sz="0" w:space="0" w:color="auto"/>
            <w:right w:val="none" w:sz="0" w:space="0" w:color="auto"/>
          </w:divBdr>
          <w:divsChild>
            <w:div w:id="1902792487">
              <w:marLeft w:val="0"/>
              <w:marRight w:val="0"/>
              <w:marTop w:val="0"/>
              <w:marBottom w:val="0"/>
              <w:divBdr>
                <w:top w:val="none" w:sz="0" w:space="0" w:color="auto"/>
                <w:left w:val="none" w:sz="0" w:space="0" w:color="auto"/>
                <w:bottom w:val="none" w:sz="0" w:space="0" w:color="auto"/>
                <w:right w:val="none" w:sz="0" w:space="0" w:color="auto"/>
              </w:divBdr>
              <w:divsChild>
                <w:div w:id="96354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83204">
      <w:bodyDiv w:val="1"/>
      <w:marLeft w:val="0"/>
      <w:marRight w:val="0"/>
      <w:marTop w:val="0"/>
      <w:marBottom w:val="0"/>
      <w:divBdr>
        <w:top w:val="none" w:sz="0" w:space="0" w:color="auto"/>
        <w:left w:val="none" w:sz="0" w:space="0" w:color="auto"/>
        <w:bottom w:val="none" w:sz="0" w:space="0" w:color="auto"/>
        <w:right w:val="none" w:sz="0" w:space="0" w:color="auto"/>
      </w:divBdr>
      <w:divsChild>
        <w:div w:id="485124425">
          <w:marLeft w:val="360"/>
          <w:marRight w:val="0"/>
          <w:marTop w:val="200"/>
          <w:marBottom w:val="0"/>
          <w:divBdr>
            <w:top w:val="none" w:sz="0" w:space="0" w:color="auto"/>
            <w:left w:val="none" w:sz="0" w:space="0" w:color="auto"/>
            <w:bottom w:val="none" w:sz="0" w:space="0" w:color="auto"/>
            <w:right w:val="none" w:sz="0" w:space="0" w:color="auto"/>
          </w:divBdr>
        </w:div>
      </w:divsChild>
    </w:div>
    <w:div w:id="1359549526">
      <w:bodyDiv w:val="1"/>
      <w:marLeft w:val="0"/>
      <w:marRight w:val="0"/>
      <w:marTop w:val="0"/>
      <w:marBottom w:val="0"/>
      <w:divBdr>
        <w:top w:val="none" w:sz="0" w:space="0" w:color="auto"/>
        <w:left w:val="none" w:sz="0" w:space="0" w:color="auto"/>
        <w:bottom w:val="none" w:sz="0" w:space="0" w:color="auto"/>
        <w:right w:val="none" w:sz="0" w:space="0" w:color="auto"/>
      </w:divBdr>
      <w:divsChild>
        <w:div w:id="1978800528">
          <w:marLeft w:val="360"/>
          <w:marRight w:val="0"/>
          <w:marTop w:val="200"/>
          <w:marBottom w:val="0"/>
          <w:divBdr>
            <w:top w:val="none" w:sz="0" w:space="0" w:color="auto"/>
            <w:left w:val="none" w:sz="0" w:space="0" w:color="auto"/>
            <w:bottom w:val="none" w:sz="0" w:space="0" w:color="auto"/>
            <w:right w:val="none" w:sz="0" w:space="0" w:color="auto"/>
          </w:divBdr>
        </w:div>
        <w:div w:id="214582998">
          <w:marLeft w:val="360"/>
          <w:marRight w:val="0"/>
          <w:marTop w:val="200"/>
          <w:marBottom w:val="0"/>
          <w:divBdr>
            <w:top w:val="none" w:sz="0" w:space="0" w:color="auto"/>
            <w:left w:val="none" w:sz="0" w:space="0" w:color="auto"/>
            <w:bottom w:val="none" w:sz="0" w:space="0" w:color="auto"/>
            <w:right w:val="none" w:sz="0" w:space="0" w:color="auto"/>
          </w:divBdr>
        </w:div>
        <w:div w:id="1402828010">
          <w:marLeft w:val="360"/>
          <w:marRight w:val="0"/>
          <w:marTop w:val="200"/>
          <w:marBottom w:val="0"/>
          <w:divBdr>
            <w:top w:val="none" w:sz="0" w:space="0" w:color="auto"/>
            <w:left w:val="none" w:sz="0" w:space="0" w:color="auto"/>
            <w:bottom w:val="none" w:sz="0" w:space="0" w:color="auto"/>
            <w:right w:val="none" w:sz="0" w:space="0" w:color="auto"/>
          </w:divBdr>
        </w:div>
        <w:div w:id="333344260">
          <w:marLeft w:val="360"/>
          <w:marRight w:val="0"/>
          <w:marTop w:val="200"/>
          <w:marBottom w:val="0"/>
          <w:divBdr>
            <w:top w:val="none" w:sz="0" w:space="0" w:color="auto"/>
            <w:left w:val="none" w:sz="0" w:space="0" w:color="auto"/>
            <w:bottom w:val="none" w:sz="0" w:space="0" w:color="auto"/>
            <w:right w:val="none" w:sz="0" w:space="0" w:color="auto"/>
          </w:divBdr>
        </w:div>
        <w:div w:id="148795118">
          <w:marLeft w:val="360"/>
          <w:marRight w:val="0"/>
          <w:marTop w:val="200"/>
          <w:marBottom w:val="0"/>
          <w:divBdr>
            <w:top w:val="none" w:sz="0" w:space="0" w:color="auto"/>
            <w:left w:val="none" w:sz="0" w:space="0" w:color="auto"/>
            <w:bottom w:val="none" w:sz="0" w:space="0" w:color="auto"/>
            <w:right w:val="none" w:sz="0" w:space="0" w:color="auto"/>
          </w:divBdr>
        </w:div>
        <w:div w:id="1901666779">
          <w:marLeft w:val="360"/>
          <w:marRight w:val="0"/>
          <w:marTop w:val="200"/>
          <w:marBottom w:val="0"/>
          <w:divBdr>
            <w:top w:val="none" w:sz="0" w:space="0" w:color="auto"/>
            <w:left w:val="none" w:sz="0" w:space="0" w:color="auto"/>
            <w:bottom w:val="none" w:sz="0" w:space="0" w:color="auto"/>
            <w:right w:val="none" w:sz="0" w:space="0" w:color="auto"/>
          </w:divBdr>
        </w:div>
      </w:divsChild>
    </w:div>
    <w:div w:id="1569654656">
      <w:bodyDiv w:val="1"/>
      <w:marLeft w:val="0"/>
      <w:marRight w:val="0"/>
      <w:marTop w:val="0"/>
      <w:marBottom w:val="0"/>
      <w:divBdr>
        <w:top w:val="none" w:sz="0" w:space="0" w:color="auto"/>
        <w:left w:val="none" w:sz="0" w:space="0" w:color="auto"/>
        <w:bottom w:val="none" w:sz="0" w:space="0" w:color="auto"/>
        <w:right w:val="none" w:sz="0" w:space="0" w:color="auto"/>
      </w:divBdr>
      <w:divsChild>
        <w:div w:id="1068723426">
          <w:marLeft w:val="360"/>
          <w:marRight w:val="0"/>
          <w:marTop w:val="200"/>
          <w:marBottom w:val="0"/>
          <w:divBdr>
            <w:top w:val="none" w:sz="0" w:space="0" w:color="auto"/>
            <w:left w:val="none" w:sz="0" w:space="0" w:color="auto"/>
            <w:bottom w:val="none" w:sz="0" w:space="0" w:color="auto"/>
            <w:right w:val="none" w:sz="0" w:space="0" w:color="auto"/>
          </w:divBdr>
        </w:div>
        <w:div w:id="908883545">
          <w:marLeft w:val="360"/>
          <w:marRight w:val="0"/>
          <w:marTop w:val="200"/>
          <w:marBottom w:val="0"/>
          <w:divBdr>
            <w:top w:val="none" w:sz="0" w:space="0" w:color="auto"/>
            <w:left w:val="none" w:sz="0" w:space="0" w:color="auto"/>
            <w:bottom w:val="none" w:sz="0" w:space="0" w:color="auto"/>
            <w:right w:val="none" w:sz="0" w:space="0" w:color="auto"/>
          </w:divBdr>
        </w:div>
        <w:div w:id="148134610">
          <w:marLeft w:val="360"/>
          <w:marRight w:val="0"/>
          <w:marTop w:val="200"/>
          <w:marBottom w:val="0"/>
          <w:divBdr>
            <w:top w:val="none" w:sz="0" w:space="0" w:color="auto"/>
            <w:left w:val="none" w:sz="0" w:space="0" w:color="auto"/>
            <w:bottom w:val="none" w:sz="0" w:space="0" w:color="auto"/>
            <w:right w:val="none" w:sz="0" w:space="0" w:color="auto"/>
          </w:divBdr>
        </w:div>
      </w:divsChild>
    </w:div>
    <w:div w:id="1951740980">
      <w:bodyDiv w:val="1"/>
      <w:marLeft w:val="0"/>
      <w:marRight w:val="0"/>
      <w:marTop w:val="0"/>
      <w:marBottom w:val="0"/>
      <w:divBdr>
        <w:top w:val="none" w:sz="0" w:space="0" w:color="auto"/>
        <w:left w:val="none" w:sz="0" w:space="0" w:color="auto"/>
        <w:bottom w:val="none" w:sz="0" w:space="0" w:color="auto"/>
        <w:right w:val="none" w:sz="0" w:space="0" w:color="auto"/>
      </w:divBdr>
      <w:divsChild>
        <w:div w:id="731998809">
          <w:marLeft w:val="0"/>
          <w:marRight w:val="0"/>
          <w:marTop w:val="0"/>
          <w:marBottom w:val="0"/>
          <w:divBdr>
            <w:top w:val="none" w:sz="0" w:space="0" w:color="auto"/>
            <w:left w:val="none" w:sz="0" w:space="0" w:color="auto"/>
            <w:bottom w:val="none" w:sz="0" w:space="0" w:color="auto"/>
            <w:right w:val="none" w:sz="0" w:space="0" w:color="auto"/>
          </w:divBdr>
          <w:divsChild>
            <w:div w:id="98562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79346">
      <w:bodyDiv w:val="1"/>
      <w:marLeft w:val="0"/>
      <w:marRight w:val="0"/>
      <w:marTop w:val="0"/>
      <w:marBottom w:val="0"/>
      <w:divBdr>
        <w:top w:val="none" w:sz="0" w:space="0" w:color="auto"/>
        <w:left w:val="none" w:sz="0" w:space="0" w:color="auto"/>
        <w:bottom w:val="none" w:sz="0" w:space="0" w:color="auto"/>
        <w:right w:val="none" w:sz="0" w:space="0" w:color="auto"/>
      </w:divBdr>
    </w:div>
    <w:div w:id="20124454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term=Tsilika+M&amp;cauthor_id=32941801" TargetMode="External"/><Relationship Id="rId3" Type="http://schemas.openxmlformats.org/officeDocument/2006/relationships/settings" Target="settings.xml"/><Relationship Id="rId7" Type="http://schemas.openxmlformats.org/officeDocument/2006/relationships/hyperlink" Target="https://pubmed.ncbi.nlm.nih.gov/?term=Giamarellos-Bourboulis+EJ&amp;cauthor_id=329418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edicsjournalclub.com/post/tranexamic-acid-for-acute-traumatic-brain-injury" TargetMode="External"/><Relationship Id="rId11" Type="http://schemas.openxmlformats.org/officeDocument/2006/relationships/theme" Target="theme/theme1.xml"/><Relationship Id="rId5" Type="http://schemas.openxmlformats.org/officeDocument/2006/relationships/hyperlink" Target="https://emcrit.org/pulmcrit/crash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ubmed.ncbi.nlm.nih.gov/?term=Moorlag+S&amp;cauthor_id=329418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93</TotalTime>
  <Pages>13</Pages>
  <Words>3944</Words>
  <Characters>22645</Characters>
  <Application>Microsoft Office Word</Application>
  <DocSecurity>0</DocSecurity>
  <Lines>452</Lines>
  <Paragraphs>123</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26466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Aysha Nijamudeen</dc:creator>
  <cp:keywords/>
  <dc:description/>
  <cp:lastModifiedBy>Aysha Nijamudeen</cp:lastModifiedBy>
  <cp:revision>78</cp:revision>
  <dcterms:created xsi:type="dcterms:W3CDTF">2020-09-06T14:12:00Z</dcterms:created>
  <dcterms:modified xsi:type="dcterms:W3CDTF">2021-05-04T20:17:00Z</dcterms:modified>
</cp:coreProperties>
</file>